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36" w:rsidRPr="00416DE8" w:rsidRDefault="00416DE8" w:rsidP="00416DE8">
      <w:pPr>
        <w:pStyle w:val="NoSpacing"/>
        <w:jc w:val="center"/>
        <w:rPr>
          <w:sz w:val="48"/>
          <w:szCs w:val="48"/>
        </w:rPr>
      </w:pPr>
      <w:bookmarkStart w:id="0" w:name="_GoBack"/>
      <w:bookmarkEnd w:id="0"/>
      <w:r w:rsidRPr="00416DE8">
        <w:rPr>
          <w:sz w:val="48"/>
          <w:szCs w:val="48"/>
        </w:rPr>
        <w:t xml:space="preserve">Erasmus+ </w:t>
      </w:r>
      <w:r w:rsidR="002C3A00">
        <w:rPr>
          <w:sz w:val="48"/>
          <w:szCs w:val="48"/>
        </w:rPr>
        <w:t>Scholarship</w:t>
      </w:r>
      <w:r w:rsidR="00AB3D36" w:rsidRPr="00416DE8">
        <w:rPr>
          <w:sz w:val="48"/>
          <w:szCs w:val="48"/>
        </w:rPr>
        <w:t xml:space="preserve"> overview</w:t>
      </w:r>
    </w:p>
    <w:p w:rsidR="00AB3D36" w:rsidRDefault="00AB3D36" w:rsidP="00394EF1">
      <w:pPr>
        <w:pStyle w:val="NoSpacing"/>
      </w:pPr>
    </w:p>
    <w:p w:rsidR="00C50875" w:rsidRDefault="00C50875" w:rsidP="00394EF1">
      <w:pPr>
        <w:pStyle w:val="NoSpacing"/>
      </w:pPr>
    </w:p>
    <w:p w:rsidR="00AB3D36" w:rsidRPr="00394EF1" w:rsidRDefault="00AB3D36" w:rsidP="00394EF1">
      <w:pPr>
        <w:pStyle w:val="NoSpacing"/>
        <w:rPr>
          <w:b/>
          <w:sz w:val="32"/>
          <w:szCs w:val="32"/>
        </w:rPr>
      </w:pPr>
      <w:r w:rsidRPr="00394EF1">
        <w:rPr>
          <w:b/>
          <w:sz w:val="32"/>
          <w:szCs w:val="32"/>
        </w:rPr>
        <w:t>Outgoing Mobility:</w:t>
      </w:r>
    </w:p>
    <w:p w:rsidR="00394EF1" w:rsidRDefault="00394EF1" w:rsidP="00394EF1">
      <w:pPr>
        <w:pStyle w:val="NoSpacing"/>
        <w:rPr>
          <w:b/>
          <w:sz w:val="24"/>
          <w:szCs w:val="24"/>
        </w:rPr>
      </w:pPr>
    </w:p>
    <w:p w:rsidR="00394EF1" w:rsidRPr="00394EF1" w:rsidRDefault="00AB3D36" w:rsidP="00394EF1">
      <w:pPr>
        <w:pStyle w:val="NoSpacing"/>
        <w:rPr>
          <w:b/>
          <w:sz w:val="24"/>
          <w:szCs w:val="24"/>
        </w:rPr>
      </w:pPr>
      <w:r w:rsidRPr="00394EF1">
        <w:rPr>
          <w:b/>
          <w:sz w:val="24"/>
          <w:szCs w:val="24"/>
        </w:rPr>
        <w:t>1. Students</w:t>
      </w:r>
      <w:r w:rsidR="00416DE8">
        <w:rPr>
          <w:b/>
          <w:sz w:val="24"/>
          <w:szCs w:val="24"/>
        </w:rPr>
        <w:t xml:space="preserve"> studying at the University of Belgrade</w:t>
      </w:r>
    </w:p>
    <w:p w:rsidR="00394EF1" w:rsidRDefault="004D07A9" w:rsidP="009F602A">
      <w:pPr>
        <w:pStyle w:val="NoSpacing"/>
        <w:jc w:val="both"/>
      </w:pPr>
      <w:r>
        <w:t xml:space="preserve">If you are granted an Erasmus+ scholarship for one semester or </w:t>
      </w:r>
      <w:r w:rsidR="00AC4F9C">
        <w:t xml:space="preserve">the </w:t>
      </w:r>
      <w:r>
        <w:t>whole academic year to go and study abroad you will receive:</w:t>
      </w:r>
    </w:p>
    <w:p w:rsidR="004D07A9" w:rsidRDefault="004D07A9" w:rsidP="00394EF1">
      <w:pPr>
        <w:pStyle w:val="NoSpacing"/>
      </w:pPr>
    </w:p>
    <w:p w:rsidR="00486207" w:rsidRDefault="00394EF1" w:rsidP="00617557">
      <w:pPr>
        <w:pStyle w:val="NoSpacing"/>
        <w:numPr>
          <w:ilvl w:val="0"/>
          <w:numId w:val="7"/>
        </w:numPr>
      </w:pPr>
      <w:r>
        <w:t>S</w:t>
      </w:r>
      <w:r w:rsidR="0073372F">
        <w:t xml:space="preserve">ubsistence </w:t>
      </w:r>
      <w:r w:rsidR="00486207">
        <w:t>allowance</w:t>
      </w:r>
      <w:r w:rsidR="0073372F">
        <w:t>:</w:t>
      </w:r>
    </w:p>
    <w:p w:rsidR="00394EF1" w:rsidRDefault="00394EF1" w:rsidP="00394EF1">
      <w:pPr>
        <w:pStyle w:val="NoSpacing"/>
      </w:pPr>
    </w:p>
    <w:tbl>
      <w:tblPr>
        <w:tblW w:w="9420" w:type="dxa"/>
        <w:tblLook w:val="04A0" w:firstRow="1" w:lastRow="0" w:firstColumn="1" w:lastColumn="0" w:noHBand="0" w:noVBand="1"/>
      </w:tblPr>
      <w:tblGrid>
        <w:gridCol w:w="7480"/>
        <w:gridCol w:w="1940"/>
      </w:tblGrid>
      <w:tr w:rsidR="00DA3DF3" w:rsidRPr="00DA3DF3" w:rsidTr="00DA3DF3">
        <w:trPr>
          <w:trHeight w:val="288"/>
        </w:trPr>
        <w:tc>
          <w:tcPr>
            <w:tcW w:w="7480" w:type="dxa"/>
            <w:tcBorders>
              <w:top w:val="single" w:sz="8" w:space="0" w:color="auto"/>
              <w:left w:val="single" w:sz="8" w:space="0" w:color="auto"/>
              <w:bottom w:val="single" w:sz="4" w:space="0" w:color="404040"/>
              <w:right w:val="single" w:sz="4" w:space="0" w:color="404040"/>
            </w:tcBorders>
            <w:shd w:val="clear" w:color="000000" w:fill="F2F2F2"/>
            <w:vAlign w:val="bottom"/>
            <w:hideMark/>
          </w:tcPr>
          <w:p w:rsidR="00DA3DF3" w:rsidRPr="00DA3DF3" w:rsidRDefault="00DA3DF3" w:rsidP="00416DE8">
            <w:pPr>
              <w:pStyle w:val="NoSpacing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A3DF3">
              <w:rPr>
                <w:rFonts w:ascii="Calibri" w:eastAsia="Times New Roman" w:hAnsi="Calibri" w:cs="Times New Roman"/>
                <w:b/>
                <w:bCs/>
                <w:color w:val="000000"/>
              </w:rPr>
              <w:t>Host country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404040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DA3DF3" w:rsidRPr="00DA3DF3" w:rsidRDefault="00AC4F9C" w:rsidP="00AC4F9C">
            <w:pPr>
              <w:pStyle w:val="NoSpacing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Per m</w:t>
            </w:r>
            <w:r w:rsidR="00DA3DF3" w:rsidRPr="00DA3DF3">
              <w:rPr>
                <w:rFonts w:ascii="Calibri" w:eastAsia="Times New Roman" w:hAnsi="Calibri" w:cs="Times New Roman"/>
                <w:b/>
                <w:bCs/>
                <w:color w:val="000000"/>
              </w:rPr>
              <w:t>onth</w:t>
            </w:r>
          </w:p>
        </w:tc>
      </w:tr>
      <w:tr w:rsidR="00DA3DF3" w:rsidRPr="00DA3DF3" w:rsidTr="00DA3DF3">
        <w:trPr>
          <w:trHeight w:val="792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  <w:hideMark/>
          </w:tcPr>
          <w:p w:rsidR="00DA3DF3" w:rsidRPr="00DA3DF3" w:rsidRDefault="00DA3DF3" w:rsidP="00416DE8">
            <w:pPr>
              <w:pStyle w:val="NoSpacing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3DF3">
              <w:rPr>
                <w:rFonts w:ascii="Calibri" w:eastAsia="Times New Roman" w:hAnsi="Calibri" w:cs="Times New Roman"/>
                <w:color w:val="000000"/>
              </w:rPr>
              <w:t>Denmark, Ireland, France, Italy, Austria, Finland, Sweden, United Kingdom, Liechtenstein, Norway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40404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DF3" w:rsidRPr="00DA3DF3" w:rsidRDefault="00DA3DF3" w:rsidP="00416DE8">
            <w:pPr>
              <w:pStyle w:val="NoSpacing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A3DF3">
              <w:rPr>
                <w:rFonts w:ascii="Calibri" w:eastAsia="Times New Roman" w:hAnsi="Calibri" w:cs="Times New Roman"/>
                <w:b/>
                <w:bCs/>
                <w:color w:val="000000"/>
              </w:rPr>
              <w:t>850 EUR</w:t>
            </w:r>
          </w:p>
        </w:tc>
      </w:tr>
      <w:tr w:rsidR="00DA3DF3" w:rsidRPr="00DA3DF3" w:rsidTr="00DA3DF3">
        <w:trPr>
          <w:trHeight w:val="792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  <w:hideMark/>
          </w:tcPr>
          <w:p w:rsidR="00DA3DF3" w:rsidRPr="00DA3DF3" w:rsidRDefault="00DA3DF3" w:rsidP="00416DE8">
            <w:pPr>
              <w:pStyle w:val="NoSpacing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3DF3">
              <w:rPr>
                <w:rFonts w:ascii="Calibri" w:eastAsia="Times New Roman" w:hAnsi="Calibri" w:cs="Times New Roman"/>
                <w:color w:val="000000"/>
              </w:rPr>
              <w:t>Belgium, Czech Republic, Germany, Greece, Spain, Croatia, Cyprus, Luxembourg, Netherlands, Portugal, Slovenia, Iceland, Turkey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40404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DF3" w:rsidRPr="00DA3DF3" w:rsidRDefault="00DA3DF3" w:rsidP="00416DE8">
            <w:pPr>
              <w:pStyle w:val="NoSpacing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A3DF3">
              <w:rPr>
                <w:rFonts w:ascii="Calibri" w:eastAsia="Times New Roman" w:hAnsi="Calibri" w:cs="Times New Roman"/>
                <w:b/>
                <w:bCs/>
                <w:color w:val="000000"/>
              </w:rPr>
              <w:t>800 EUR</w:t>
            </w:r>
          </w:p>
        </w:tc>
      </w:tr>
      <w:tr w:rsidR="00DA3DF3" w:rsidRPr="00DA3DF3" w:rsidTr="00DA3DF3">
        <w:trPr>
          <w:trHeight w:val="792"/>
        </w:trPr>
        <w:tc>
          <w:tcPr>
            <w:tcW w:w="7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404040"/>
            </w:tcBorders>
            <w:shd w:val="clear" w:color="auto" w:fill="auto"/>
            <w:vAlign w:val="center"/>
            <w:hideMark/>
          </w:tcPr>
          <w:p w:rsidR="00DA3DF3" w:rsidRPr="00DA3DF3" w:rsidRDefault="00DA3DF3" w:rsidP="00416DE8">
            <w:pPr>
              <w:pStyle w:val="NoSpacing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3DF3">
              <w:rPr>
                <w:rFonts w:ascii="Calibri" w:eastAsia="Times New Roman" w:hAnsi="Calibri" w:cs="Times New Roman"/>
                <w:color w:val="000000"/>
              </w:rPr>
              <w:t>Bulgaria, Estonia, Latvia, Lithuania, Hungary, Malta, Poland, Romania, Slovakia, former Yugoslav Republic of Macedonia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DF3" w:rsidRPr="00DA3DF3" w:rsidRDefault="00DA3DF3" w:rsidP="00416DE8">
            <w:pPr>
              <w:pStyle w:val="NoSpacing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A3DF3">
              <w:rPr>
                <w:rFonts w:ascii="Calibri" w:eastAsia="Times New Roman" w:hAnsi="Calibri" w:cs="Times New Roman"/>
                <w:b/>
                <w:bCs/>
                <w:color w:val="000000"/>
              </w:rPr>
              <w:t>750 EUR</w:t>
            </w:r>
          </w:p>
        </w:tc>
      </w:tr>
    </w:tbl>
    <w:p w:rsidR="00394EF1" w:rsidRDefault="00394EF1" w:rsidP="00394EF1">
      <w:pPr>
        <w:pStyle w:val="NoSpacing"/>
      </w:pPr>
    </w:p>
    <w:p w:rsidR="00AB3D36" w:rsidRDefault="00AB3D36" w:rsidP="00617557">
      <w:pPr>
        <w:pStyle w:val="NoSpacing"/>
        <w:numPr>
          <w:ilvl w:val="0"/>
          <w:numId w:val="6"/>
        </w:numPr>
      </w:pPr>
      <w:r>
        <w:t>Travel costs covered in the amounts</w:t>
      </w:r>
      <w:r w:rsidR="00DA3DF3">
        <w:t xml:space="preserve"> listed </w:t>
      </w:r>
      <w:r w:rsidR="00B61C91">
        <w:t xml:space="preserve">below. </w:t>
      </w:r>
    </w:p>
    <w:p w:rsidR="00394EF1" w:rsidRDefault="0048436A" w:rsidP="00617557">
      <w:pPr>
        <w:pStyle w:val="NoSpacing"/>
        <w:numPr>
          <w:ilvl w:val="0"/>
          <w:numId w:val="6"/>
        </w:numPr>
      </w:pPr>
      <w:r>
        <w:t>T</w:t>
      </w:r>
      <w:r w:rsidR="00394EF1">
        <w:t>uition fees</w:t>
      </w:r>
      <w:r>
        <w:t xml:space="preserve"> are</w:t>
      </w:r>
      <w:r w:rsidR="00AC4F9C">
        <w:t xml:space="preserve"> waived according to</w:t>
      </w:r>
      <w:r>
        <w:t xml:space="preserve"> Erasmus+ agreement</w:t>
      </w:r>
    </w:p>
    <w:p w:rsidR="0048436A" w:rsidRDefault="0048436A" w:rsidP="00394EF1">
      <w:pPr>
        <w:pStyle w:val="NoSpacing"/>
      </w:pPr>
    </w:p>
    <w:p w:rsidR="00394EF1" w:rsidRDefault="00394EF1" w:rsidP="00394EF1">
      <w:pPr>
        <w:pStyle w:val="NoSpacing"/>
      </w:pPr>
    </w:p>
    <w:p w:rsidR="00394EF1" w:rsidRDefault="00DA3DF3" w:rsidP="00394EF1">
      <w:pPr>
        <w:pStyle w:val="NoSpacing"/>
        <w:rPr>
          <w:b/>
          <w:sz w:val="24"/>
          <w:szCs w:val="24"/>
        </w:rPr>
      </w:pPr>
      <w:r w:rsidRPr="00394EF1">
        <w:rPr>
          <w:b/>
          <w:sz w:val="24"/>
          <w:szCs w:val="24"/>
        </w:rPr>
        <w:t>2. Staff (Teaching and Administrative)</w:t>
      </w:r>
      <w:r w:rsidR="00416DE8">
        <w:rPr>
          <w:b/>
          <w:sz w:val="24"/>
          <w:szCs w:val="24"/>
        </w:rPr>
        <w:t xml:space="preserve"> working at the University of Belgrade</w:t>
      </w:r>
    </w:p>
    <w:p w:rsidR="00416DE8" w:rsidRDefault="009F602A" w:rsidP="00416DE8">
      <w:pPr>
        <w:pStyle w:val="NoSpacing"/>
      </w:pPr>
      <w:r w:rsidRPr="009F602A">
        <w:t>If you are granted an Erasmus+ scholarship for</w:t>
      </w:r>
      <w:r>
        <w:t xml:space="preserve"> mobility</w:t>
      </w:r>
      <w:r w:rsidRPr="009F602A">
        <w:t xml:space="preserve"> you will receive:</w:t>
      </w:r>
    </w:p>
    <w:p w:rsidR="009F602A" w:rsidRDefault="009F602A" w:rsidP="00416DE8">
      <w:pPr>
        <w:pStyle w:val="NoSpacing"/>
      </w:pPr>
    </w:p>
    <w:p w:rsidR="00416DE8" w:rsidRDefault="00416DE8" w:rsidP="00617557">
      <w:pPr>
        <w:pStyle w:val="NoSpacing"/>
        <w:numPr>
          <w:ilvl w:val="0"/>
          <w:numId w:val="3"/>
        </w:numPr>
      </w:pPr>
      <w:r>
        <w:t>Subsistence allowance:</w:t>
      </w:r>
    </w:p>
    <w:p w:rsidR="00416DE8" w:rsidRPr="00394EF1" w:rsidRDefault="00416DE8" w:rsidP="00394EF1">
      <w:pPr>
        <w:pStyle w:val="NoSpacing"/>
        <w:rPr>
          <w:b/>
          <w:sz w:val="24"/>
          <w:szCs w:val="24"/>
        </w:rPr>
      </w:pPr>
    </w:p>
    <w:tbl>
      <w:tblPr>
        <w:tblW w:w="9420" w:type="dxa"/>
        <w:tblLook w:val="04A0" w:firstRow="1" w:lastRow="0" w:firstColumn="1" w:lastColumn="0" w:noHBand="0" w:noVBand="1"/>
      </w:tblPr>
      <w:tblGrid>
        <w:gridCol w:w="7480"/>
        <w:gridCol w:w="1940"/>
      </w:tblGrid>
      <w:tr w:rsidR="00DA3DF3" w:rsidRPr="00DA3DF3" w:rsidTr="00DA3DF3">
        <w:trPr>
          <w:trHeight w:val="300"/>
        </w:trPr>
        <w:tc>
          <w:tcPr>
            <w:tcW w:w="7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404040"/>
            </w:tcBorders>
            <w:shd w:val="clear" w:color="000000" w:fill="F2F2F2"/>
            <w:vAlign w:val="bottom"/>
            <w:hideMark/>
          </w:tcPr>
          <w:p w:rsidR="00DA3DF3" w:rsidRPr="00DA3DF3" w:rsidRDefault="00DA3DF3" w:rsidP="00416DE8">
            <w:pPr>
              <w:pStyle w:val="NoSpacing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A3DF3">
              <w:rPr>
                <w:rFonts w:ascii="Calibri" w:eastAsia="Times New Roman" w:hAnsi="Calibri" w:cs="Times New Roman"/>
                <w:b/>
                <w:bCs/>
                <w:color w:val="000000"/>
              </w:rPr>
              <w:t>Host country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DA3DF3" w:rsidRPr="00DA3DF3" w:rsidRDefault="00AC4F9C" w:rsidP="00416DE8">
            <w:pPr>
              <w:pStyle w:val="NoSpacing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Per day</w:t>
            </w:r>
          </w:p>
        </w:tc>
      </w:tr>
      <w:tr w:rsidR="00DA3DF3" w:rsidRPr="00DA3DF3" w:rsidTr="00DA3DF3">
        <w:trPr>
          <w:trHeight w:val="540"/>
        </w:trPr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  <w:hideMark/>
          </w:tcPr>
          <w:p w:rsidR="00DA3DF3" w:rsidRPr="00DA3DF3" w:rsidRDefault="00DA3DF3" w:rsidP="00416DE8">
            <w:pPr>
              <w:pStyle w:val="NoSpacing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3DF3">
              <w:rPr>
                <w:rFonts w:ascii="Calibri" w:eastAsia="Times New Roman" w:hAnsi="Calibri" w:cs="Times New Roman"/>
                <w:color w:val="000000"/>
              </w:rPr>
              <w:t>Denmark, Ireland, Netherlands, Sweden, United Kingdom</w:t>
            </w: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single" w:sz="4" w:space="0" w:color="40404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3DF3" w:rsidRPr="00DA3DF3" w:rsidRDefault="00DA3DF3" w:rsidP="00416DE8">
            <w:pPr>
              <w:pStyle w:val="NoSpacing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A3DF3">
              <w:rPr>
                <w:rFonts w:ascii="Calibri" w:eastAsia="Times New Roman" w:hAnsi="Calibri" w:cs="Times New Roman"/>
                <w:b/>
                <w:bCs/>
                <w:color w:val="000000"/>
              </w:rPr>
              <w:t>160 EUR</w:t>
            </w:r>
          </w:p>
        </w:tc>
      </w:tr>
      <w:tr w:rsidR="00DA3DF3" w:rsidRPr="00DA3DF3" w:rsidTr="00DA3DF3">
        <w:trPr>
          <w:trHeight w:val="792"/>
        </w:trPr>
        <w:tc>
          <w:tcPr>
            <w:tcW w:w="7480" w:type="dxa"/>
            <w:tcBorders>
              <w:top w:val="nil"/>
              <w:left w:val="single" w:sz="8" w:space="0" w:color="00000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  <w:hideMark/>
          </w:tcPr>
          <w:p w:rsidR="00DA3DF3" w:rsidRPr="00DA3DF3" w:rsidRDefault="00DA3DF3" w:rsidP="00416DE8">
            <w:pPr>
              <w:pStyle w:val="NoSpacing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3DF3">
              <w:rPr>
                <w:rFonts w:ascii="Calibri" w:eastAsia="Times New Roman" w:hAnsi="Calibri" w:cs="Times New Roman"/>
                <w:color w:val="000000"/>
              </w:rPr>
              <w:t>Belgium, Bulgaria, Czech Republic, Greece, France, Italy, Cyprus, Luxembourg, Hungary, Austria, Poland, Romania, Finland, Iceland, Liechtenstein, Norway, Turkey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40404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3DF3" w:rsidRPr="00DA3DF3" w:rsidRDefault="00DA3DF3" w:rsidP="00416DE8">
            <w:pPr>
              <w:pStyle w:val="NoSpacing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A3DF3">
              <w:rPr>
                <w:rFonts w:ascii="Calibri" w:eastAsia="Times New Roman" w:hAnsi="Calibri" w:cs="Times New Roman"/>
                <w:b/>
                <w:bCs/>
                <w:color w:val="000000"/>
              </w:rPr>
              <w:t>140 EUR</w:t>
            </w:r>
          </w:p>
        </w:tc>
      </w:tr>
      <w:tr w:rsidR="00DA3DF3" w:rsidRPr="00DA3DF3" w:rsidTr="00DA3DF3">
        <w:trPr>
          <w:trHeight w:val="540"/>
        </w:trPr>
        <w:tc>
          <w:tcPr>
            <w:tcW w:w="7480" w:type="dxa"/>
            <w:tcBorders>
              <w:top w:val="nil"/>
              <w:left w:val="single" w:sz="8" w:space="0" w:color="00000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  <w:hideMark/>
          </w:tcPr>
          <w:p w:rsidR="00DA3DF3" w:rsidRPr="00DA3DF3" w:rsidRDefault="00DA3DF3" w:rsidP="00416DE8">
            <w:pPr>
              <w:pStyle w:val="NoSpacing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3DF3">
              <w:rPr>
                <w:rFonts w:ascii="Calibri" w:eastAsia="Times New Roman" w:hAnsi="Calibri" w:cs="Times New Roman"/>
                <w:color w:val="000000"/>
              </w:rPr>
              <w:t>Germany, Spain, Latvia, Malta, Portugal, Slovakia, Macedonia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40404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3DF3" w:rsidRPr="00DA3DF3" w:rsidRDefault="00DA3DF3" w:rsidP="00416DE8">
            <w:pPr>
              <w:pStyle w:val="NoSpacing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A3DF3">
              <w:rPr>
                <w:rFonts w:ascii="Calibri" w:eastAsia="Times New Roman" w:hAnsi="Calibri" w:cs="Times New Roman"/>
                <w:b/>
                <w:bCs/>
                <w:color w:val="000000"/>
              </w:rPr>
              <w:t>120 EUR</w:t>
            </w:r>
          </w:p>
        </w:tc>
      </w:tr>
      <w:tr w:rsidR="00DA3DF3" w:rsidRPr="00DA3DF3" w:rsidTr="00DA3DF3">
        <w:trPr>
          <w:trHeight w:val="540"/>
        </w:trPr>
        <w:tc>
          <w:tcPr>
            <w:tcW w:w="7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404040"/>
            </w:tcBorders>
            <w:shd w:val="clear" w:color="auto" w:fill="auto"/>
            <w:vAlign w:val="center"/>
            <w:hideMark/>
          </w:tcPr>
          <w:p w:rsidR="00DA3DF3" w:rsidRPr="00DA3DF3" w:rsidRDefault="00DA3DF3" w:rsidP="00416DE8">
            <w:pPr>
              <w:pStyle w:val="NoSpacing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3DF3">
              <w:rPr>
                <w:rFonts w:ascii="Calibri" w:eastAsia="Times New Roman" w:hAnsi="Calibri" w:cs="Times New Roman"/>
                <w:color w:val="000000"/>
              </w:rPr>
              <w:t>Estonia, Croatia, Lithuania, Slovenia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3DF3" w:rsidRPr="00DA3DF3" w:rsidRDefault="00DA3DF3" w:rsidP="00416DE8">
            <w:pPr>
              <w:pStyle w:val="NoSpacing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A3DF3">
              <w:rPr>
                <w:rFonts w:ascii="Calibri" w:eastAsia="Times New Roman" w:hAnsi="Calibri" w:cs="Times New Roman"/>
                <w:b/>
                <w:bCs/>
                <w:color w:val="000000"/>
              </w:rPr>
              <w:t>100 EUR</w:t>
            </w:r>
          </w:p>
        </w:tc>
      </w:tr>
    </w:tbl>
    <w:p w:rsidR="00094940" w:rsidRDefault="00C50875" w:rsidP="00094940">
      <w:pPr>
        <w:pStyle w:val="NoSpacing"/>
        <w:jc w:val="both"/>
      </w:pPr>
      <w:r>
        <w:t>Note:</w:t>
      </w:r>
      <w:r w:rsidR="00094940" w:rsidRPr="00094940">
        <w:t xml:space="preserve"> If mobility period is longer than 14 days: Up to and including the 14th day of activity you will get 100% of Subsistence allowance. For every additional day you will receive 70% of Subsistence allowance.</w:t>
      </w:r>
      <w:r>
        <w:t xml:space="preserve"> </w:t>
      </w:r>
    </w:p>
    <w:p w:rsidR="00094940" w:rsidRDefault="00094940" w:rsidP="00094940">
      <w:pPr>
        <w:pStyle w:val="NoSpacing"/>
        <w:jc w:val="both"/>
      </w:pPr>
    </w:p>
    <w:p w:rsidR="00394EF1" w:rsidRDefault="00394EF1" w:rsidP="00094940">
      <w:pPr>
        <w:pStyle w:val="NoSpacing"/>
        <w:numPr>
          <w:ilvl w:val="0"/>
          <w:numId w:val="3"/>
        </w:numPr>
        <w:jc w:val="both"/>
      </w:pPr>
      <w:r>
        <w:t>Travel costs covered in the amounts listed below</w:t>
      </w:r>
    </w:p>
    <w:p w:rsidR="00394EF1" w:rsidRDefault="00394EF1" w:rsidP="00394EF1">
      <w:pPr>
        <w:pStyle w:val="NoSpacing"/>
      </w:pPr>
    </w:p>
    <w:p w:rsidR="000A4721" w:rsidRDefault="000A4721" w:rsidP="00394EF1">
      <w:pPr>
        <w:pStyle w:val="NoSpacing"/>
      </w:pPr>
    </w:p>
    <w:p w:rsidR="000A4721" w:rsidRDefault="000A4721" w:rsidP="00394EF1">
      <w:pPr>
        <w:pStyle w:val="NoSpacing"/>
      </w:pPr>
    </w:p>
    <w:p w:rsidR="000A4721" w:rsidRDefault="000A4721" w:rsidP="00394EF1">
      <w:pPr>
        <w:pStyle w:val="NoSpacing"/>
      </w:pPr>
    </w:p>
    <w:p w:rsidR="000A4721" w:rsidRDefault="000A4721" w:rsidP="00394EF1">
      <w:pPr>
        <w:pStyle w:val="NoSpacing"/>
      </w:pPr>
    </w:p>
    <w:p w:rsidR="00416DE8" w:rsidRPr="00394EF1" w:rsidRDefault="00416DE8" w:rsidP="00416DE8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Incoming</w:t>
      </w:r>
      <w:r w:rsidRPr="00394EF1">
        <w:rPr>
          <w:b/>
          <w:sz w:val="32"/>
          <w:szCs w:val="32"/>
        </w:rPr>
        <w:t xml:space="preserve"> Mobility:</w:t>
      </w:r>
    </w:p>
    <w:p w:rsidR="00DA3DF3" w:rsidRDefault="00DA3DF3" w:rsidP="00394EF1">
      <w:pPr>
        <w:pStyle w:val="NoSpacing"/>
      </w:pPr>
    </w:p>
    <w:p w:rsidR="00416DE8" w:rsidRPr="00394EF1" w:rsidRDefault="00416DE8" w:rsidP="00416DE8">
      <w:pPr>
        <w:pStyle w:val="NoSpacing"/>
        <w:rPr>
          <w:b/>
          <w:sz w:val="24"/>
          <w:szCs w:val="24"/>
        </w:rPr>
      </w:pPr>
      <w:r w:rsidRPr="00394EF1">
        <w:rPr>
          <w:b/>
          <w:sz w:val="24"/>
          <w:szCs w:val="24"/>
        </w:rPr>
        <w:t>1. Students</w:t>
      </w:r>
      <w:r>
        <w:rPr>
          <w:b/>
          <w:sz w:val="24"/>
          <w:szCs w:val="24"/>
        </w:rPr>
        <w:t xml:space="preserve"> coming to the University of Belgrade</w:t>
      </w:r>
    </w:p>
    <w:p w:rsidR="004D07A9" w:rsidRDefault="009F602A" w:rsidP="00394EF1">
      <w:pPr>
        <w:pStyle w:val="NoSpacing"/>
      </w:pPr>
      <w:r>
        <w:t xml:space="preserve">If you are granted an Erasmus+ scholarship for one semester or </w:t>
      </w:r>
      <w:r w:rsidR="00AC4F9C">
        <w:t xml:space="preserve">the </w:t>
      </w:r>
      <w:r>
        <w:t>whole academic year to go and study abroad you will receive:</w:t>
      </w:r>
    </w:p>
    <w:p w:rsidR="009F602A" w:rsidRDefault="009F602A" w:rsidP="00394EF1">
      <w:pPr>
        <w:pStyle w:val="NoSpacing"/>
      </w:pPr>
    </w:p>
    <w:p w:rsidR="00416DE8" w:rsidRDefault="004D07A9" w:rsidP="00617557">
      <w:pPr>
        <w:pStyle w:val="NoSpacing"/>
        <w:numPr>
          <w:ilvl w:val="0"/>
          <w:numId w:val="11"/>
        </w:numPr>
      </w:pPr>
      <w:r w:rsidRPr="004D07A9">
        <w:t>Subsistence allowance:</w:t>
      </w:r>
    </w:p>
    <w:p w:rsidR="00617557" w:rsidRDefault="00617557" w:rsidP="00617557">
      <w:pPr>
        <w:pStyle w:val="NoSpacing"/>
        <w:ind w:left="720"/>
      </w:pPr>
    </w:p>
    <w:tbl>
      <w:tblPr>
        <w:tblW w:w="6511" w:type="dxa"/>
        <w:tblLook w:val="04A0" w:firstRow="1" w:lastRow="0" w:firstColumn="1" w:lastColumn="0" w:noHBand="0" w:noVBand="1"/>
      </w:tblPr>
      <w:tblGrid>
        <w:gridCol w:w="2967"/>
        <w:gridCol w:w="3544"/>
      </w:tblGrid>
      <w:tr w:rsidR="00416DE8" w:rsidRPr="00416DE8" w:rsidTr="00416DE8">
        <w:trPr>
          <w:trHeight w:val="288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4" w:space="0" w:color="404040"/>
              <w:right w:val="single" w:sz="4" w:space="0" w:color="404040"/>
            </w:tcBorders>
            <w:shd w:val="clear" w:color="000000" w:fill="F2F2F2"/>
            <w:vAlign w:val="bottom"/>
            <w:hideMark/>
          </w:tcPr>
          <w:p w:rsidR="00416DE8" w:rsidRPr="00416DE8" w:rsidRDefault="00416DE8" w:rsidP="00416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16DE8">
              <w:rPr>
                <w:rFonts w:ascii="Calibri" w:eastAsia="Times New Roman" w:hAnsi="Calibri" w:cs="Times New Roman"/>
                <w:b/>
                <w:bCs/>
                <w:color w:val="000000"/>
              </w:rPr>
              <w:t>Host country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404040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416DE8" w:rsidRPr="00416DE8" w:rsidRDefault="00416DE8" w:rsidP="00416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16DE8">
              <w:rPr>
                <w:rFonts w:ascii="Calibri" w:eastAsia="Times New Roman" w:hAnsi="Calibri" w:cs="Times New Roman"/>
                <w:b/>
                <w:bCs/>
                <w:color w:val="000000"/>
              </w:rPr>
              <w:t>Monthly</w:t>
            </w:r>
          </w:p>
        </w:tc>
      </w:tr>
      <w:tr w:rsidR="00416DE8" w:rsidRPr="00416DE8" w:rsidTr="00B9777A">
        <w:trPr>
          <w:trHeight w:val="45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404040"/>
            </w:tcBorders>
            <w:shd w:val="clear" w:color="auto" w:fill="auto"/>
            <w:vAlign w:val="center"/>
            <w:hideMark/>
          </w:tcPr>
          <w:p w:rsidR="00416DE8" w:rsidRPr="00416DE8" w:rsidRDefault="00416DE8" w:rsidP="00416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6DE8">
              <w:rPr>
                <w:rFonts w:ascii="Calibri" w:eastAsia="Times New Roman" w:hAnsi="Calibri" w:cs="Times New Roman"/>
                <w:color w:val="000000"/>
              </w:rPr>
              <w:t>Serbia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DE8" w:rsidRPr="00416DE8" w:rsidRDefault="00416DE8" w:rsidP="00416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16DE8">
              <w:rPr>
                <w:rFonts w:ascii="Calibri" w:eastAsia="Times New Roman" w:hAnsi="Calibri" w:cs="Times New Roman"/>
                <w:b/>
                <w:bCs/>
                <w:color w:val="000000"/>
              </w:rPr>
              <w:t>650 EUR</w:t>
            </w:r>
          </w:p>
        </w:tc>
      </w:tr>
    </w:tbl>
    <w:p w:rsidR="00416DE8" w:rsidRDefault="00416DE8" w:rsidP="00394EF1">
      <w:pPr>
        <w:pStyle w:val="NoSpacing"/>
      </w:pPr>
    </w:p>
    <w:p w:rsidR="00416DE8" w:rsidRDefault="00416DE8" w:rsidP="00617557">
      <w:pPr>
        <w:pStyle w:val="NoSpacing"/>
        <w:numPr>
          <w:ilvl w:val="0"/>
          <w:numId w:val="13"/>
        </w:numPr>
      </w:pPr>
      <w:r>
        <w:t>Travel costs covered in the amounts listed below</w:t>
      </w:r>
    </w:p>
    <w:p w:rsidR="00416DE8" w:rsidRDefault="00AC4F9C" w:rsidP="00617557">
      <w:pPr>
        <w:pStyle w:val="NoSpacing"/>
        <w:numPr>
          <w:ilvl w:val="0"/>
          <w:numId w:val="13"/>
        </w:numPr>
      </w:pPr>
      <w:r>
        <w:t>Tuition fees are waived according to Erasmus+ agreement</w:t>
      </w:r>
    </w:p>
    <w:p w:rsidR="009F602A" w:rsidRDefault="009F602A" w:rsidP="00416DE8">
      <w:pPr>
        <w:pStyle w:val="NoSpacing"/>
      </w:pPr>
    </w:p>
    <w:p w:rsidR="009F602A" w:rsidRDefault="00617557" w:rsidP="009F602A">
      <w:pPr>
        <w:pStyle w:val="NoSpacing"/>
      </w:pPr>
      <w:r>
        <w:t xml:space="preserve">Note: </w:t>
      </w:r>
      <w:r w:rsidR="009F602A">
        <w:t xml:space="preserve">you can contact our Erasmus Student Network (ESN </w:t>
      </w:r>
      <w:proofErr w:type="spellStart"/>
      <w:r w:rsidR="009F602A">
        <w:t>BelUPgrade</w:t>
      </w:r>
      <w:proofErr w:type="spellEnd"/>
      <w:r w:rsidR="009F602A">
        <w:t xml:space="preserve">) </w:t>
      </w:r>
      <w:hyperlink r:id="rId6" w:history="1">
        <w:r w:rsidR="009F602A" w:rsidRPr="003930AF">
          <w:rPr>
            <w:rStyle w:val="Hyperlink"/>
          </w:rPr>
          <w:t>http://belupgrade.esn.rs/</w:t>
        </w:r>
      </w:hyperlink>
      <w:r w:rsidR="009F602A">
        <w:t xml:space="preserve"> and they can help you</w:t>
      </w:r>
      <w:r w:rsidR="00AC4F9C">
        <w:t xml:space="preserve"> with</w:t>
      </w:r>
      <w:r w:rsidR="009F602A">
        <w:t xml:space="preserve"> getting around and finding accommodation.</w:t>
      </w:r>
    </w:p>
    <w:p w:rsidR="00416DE8" w:rsidRDefault="00416DE8" w:rsidP="00394EF1">
      <w:pPr>
        <w:pStyle w:val="NoSpacing"/>
      </w:pPr>
    </w:p>
    <w:p w:rsidR="009F602A" w:rsidRDefault="009F602A" w:rsidP="00394EF1">
      <w:pPr>
        <w:pStyle w:val="NoSpacing"/>
      </w:pPr>
    </w:p>
    <w:p w:rsidR="00416DE8" w:rsidRDefault="00416DE8" w:rsidP="00416DE8">
      <w:pPr>
        <w:pStyle w:val="NoSpacing"/>
        <w:rPr>
          <w:b/>
          <w:sz w:val="24"/>
          <w:szCs w:val="24"/>
        </w:rPr>
      </w:pPr>
      <w:r w:rsidRPr="00394EF1">
        <w:rPr>
          <w:b/>
          <w:sz w:val="24"/>
          <w:szCs w:val="24"/>
        </w:rPr>
        <w:t>2. Staff (Teaching and Administrative)</w:t>
      </w:r>
      <w:r>
        <w:rPr>
          <w:b/>
          <w:sz w:val="24"/>
          <w:szCs w:val="24"/>
        </w:rPr>
        <w:t xml:space="preserve"> coming to the University of Belgrade</w:t>
      </w:r>
    </w:p>
    <w:p w:rsidR="009F602A" w:rsidRDefault="009F602A" w:rsidP="009F602A">
      <w:pPr>
        <w:pStyle w:val="NoSpacing"/>
      </w:pPr>
      <w:r w:rsidRPr="009F602A">
        <w:t>If you are granted an Erasmus+ scholarship for</w:t>
      </w:r>
      <w:r>
        <w:t xml:space="preserve"> mobility</w:t>
      </w:r>
      <w:r w:rsidRPr="009F602A">
        <w:t xml:space="preserve"> you will receive:</w:t>
      </w:r>
    </w:p>
    <w:p w:rsidR="009F602A" w:rsidRDefault="009F602A" w:rsidP="009F602A">
      <w:pPr>
        <w:pStyle w:val="NoSpacing"/>
      </w:pPr>
    </w:p>
    <w:p w:rsidR="00DA3DF3" w:rsidRDefault="009F602A" w:rsidP="00617557">
      <w:pPr>
        <w:pStyle w:val="NoSpacing"/>
        <w:numPr>
          <w:ilvl w:val="0"/>
          <w:numId w:val="15"/>
        </w:numPr>
      </w:pPr>
      <w:r w:rsidRPr="004D07A9">
        <w:t>Subsistence allowance:</w:t>
      </w:r>
    </w:p>
    <w:p w:rsidR="009F602A" w:rsidRDefault="009F602A" w:rsidP="00394EF1">
      <w:pPr>
        <w:pStyle w:val="NoSpacing"/>
      </w:pPr>
    </w:p>
    <w:tbl>
      <w:tblPr>
        <w:tblW w:w="6511" w:type="dxa"/>
        <w:tblLook w:val="04A0" w:firstRow="1" w:lastRow="0" w:firstColumn="1" w:lastColumn="0" w:noHBand="0" w:noVBand="1"/>
      </w:tblPr>
      <w:tblGrid>
        <w:gridCol w:w="2967"/>
        <w:gridCol w:w="3544"/>
      </w:tblGrid>
      <w:tr w:rsidR="00416DE8" w:rsidRPr="00416DE8" w:rsidTr="00416DE8">
        <w:trPr>
          <w:trHeight w:val="288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4" w:space="0" w:color="404040"/>
              <w:right w:val="single" w:sz="4" w:space="0" w:color="404040"/>
            </w:tcBorders>
            <w:shd w:val="clear" w:color="000000" w:fill="F2F2F2"/>
            <w:vAlign w:val="bottom"/>
            <w:hideMark/>
          </w:tcPr>
          <w:p w:rsidR="00416DE8" w:rsidRPr="00416DE8" w:rsidRDefault="00416DE8" w:rsidP="00416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16DE8">
              <w:rPr>
                <w:rFonts w:ascii="Calibri" w:eastAsia="Times New Roman" w:hAnsi="Calibri" w:cs="Times New Roman"/>
                <w:b/>
                <w:bCs/>
                <w:color w:val="000000"/>
              </w:rPr>
              <w:t>Host country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404040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416DE8" w:rsidRPr="00416DE8" w:rsidRDefault="00416DE8" w:rsidP="00416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16DE8">
              <w:rPr>
                <w:rFonts w:ascii="Calibri" w:eastAsia="Times New Roman" w:hAnsi="Calibri" w:cs="Times New Roman"/>
                <w:b/>
                <w:bCs/>
                <w:color w:val="000000"/>
              </w:rPr>
              <w:t>Daily</w:t>
            </w:r>
          </w:p>
        </w:tc>
      </w:tr>
      <w:tr w:rsidR="00416DE8" w:rsidRPr="00416DE8" w:rsidTr="00B9777A">
        <w:trPr>
          <w:trHeight w:val="421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404040"/>
            </w:tcBorders>
            <w:shd w:val="clear" w:color="auto" w:fill="auto"/>
            <w:vAlign w:val="center"/>
            <w:hideMark/>
          </w:tcPr>
          <w:p w:rsidR="00416DE8" w:rsidRPr="00416DE8" w:rsidRDefault="00416DE8" w:rsidP="00416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16DE8">
              <w:rPr>
                <w:rFonts w:ascii="Calibri" w:eastAsia="Times New Roman" w:hAnsi="Calibri" w:cs="Times New Roman"/>
                <w:color w:val="000000"/>
              </w:rPr>
              <w:t>Serbia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DE8" w:rsidRPr="00416DE8" w:rsidRDefault="00416DE8" w:rsidP="00416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16DE8">
              <w:rPr>
                <w:rFonts w:ascii="Calibri" w:eastAsia="Times New Roman" w:hAnsi="Calibri" w:cs="Times New Roman"/>
                <w:b/>
                <w:bCs/>
                <w:color w:val="000000"/>
              </w:rPr>
              <w:t>160 EUR</w:t>
            </w:r>
          </w:p>
        </w:tc>
      </w:tr>
    </w:tbl>
    <w:p w:rsidR="00094940" w:rsidRDefault="00094940" w:rsidP="00094940">
      <w:pPr>
        <w:pStyle w:val="NoSpacing"/>
        <w:jc w:val="both"/>
      </w:pPr>
      <w:r>
        <w:t>Note:</w:t>
      </w:r>
      <w:r w:rsidRPr="00094940">
        <w:t xml:space="preserve"> If mobility period is longer than 14 days: Up to and including the 14th day of activity you will get 100% of Subsistence allowance. For every additional day you will receive 70% of Subsistence allowance.</w:t>
      </w:r>
      <w:r>
        <w:t xml:space="preserve"> </w:t>
      </w:r>
    </w:p>
    <w:p w:rsidR="00C50875" w:rsidRDefault="00C50875" w:rsidP="00394EF1">
      <w:pPr>
        <w:pStyle w:val="NoSpacing"/>
      </w:pPr>
    </w:p>
    <w:p w:rsidR="00DA3DF3" w:rsidRDefault="00416DE8" w:rsidP="00617557">
      <w:pPr>
        <w:pStyle w:val="NoSpacing"/>
        <w:numPr>
          <w:ilvl w:val="0"/>
          <w:numId w:val="17"/>
        </w:numPr>
      </w:pPr>
      <w:r>
        <w:t>Travel costs covered in the amounts listed below</w:t>
      </w:r>
    </w:p>
    <w:p w:rsidR="00DA3DF3" w:rsidRDefault="00DA3DF3" w:rsidP="00394EF1">
      <w:pPr>
        <w:pStyle w:val="NoSpacing"/>
      </w:pPr>
    </w:p>
    <w:p w:rsidR="00416DE8" w:rsidRDefault="00416DE8" w:rsidP="00394EF1">
      <w:pPr>
        <w:pStyle w:val="NoSpacing"/>
      </w:pPr>
    </w:p>
    <w:p w:rsidR="00416DE8" w:rsidRPr="00416DE8" w:rsidRDefault="00416DE8" w:rsidP="00394EF1">
      <w:pPr>
        <w:pStyle w:val="NoSpacing"/>
        <w:rPr>
          <w:b/>
          <w:sz w:val="28"/>
          <w:szCs w:val="28"/>
        </w:rPr>
      </w:pPr>
      <w:r w:rsidRPr="00416DE8">
        <w:rPr>
          <w:b/>
          <w:sz w:val="28"/>
          <w:szCs w:val="28"/>
        </w:rPr>
        <w:t>Travel Costs</w:t>
      </w:r>
      <w:r w:rsidR="009F602A">
        <w:rPr>
          <w:b/>
          <w:sz w:val="28"/>
          <w:szCs w:val="28"/>
        </w:rPr>
        <w:t xml:space="preserve"> (Outgoing and Incoming)</w:t>
      </w:r>
    </w:p>
    <w:p w:rsidR="00416DE8" w:rsidRDefault="00416DE8" w:rsidP="00394EF1">
      <w:pPr>
        <w:pStyle w:val="NoSpacing"/>
      </w:pPr>
    </w:p>
    <w:tbl>
      <w:tblPr>
        <w:tblW w:w="7380" w:type="dxa"/>
        <w:tblLook w:val="04A0" w:firstRow="1" w:lastRow="0" w:firstColumn="1" w:lastColumn="0" w:noHBand="0" w:noVBand="1"/>
      </w:tblPr>
      <w:tblGrid>
        <w:gridCol w:w="4160"/>
        <w:gridCol w:w="3220"/>
      </w:tblGrid>
      <w:tr w:rsidR="00DA3DF3" w:rsidRPr="00DA3DF3" w:rsidTr="00DA3DF3">
        <w:trPr>
          <w:trHeight w:val="576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4" w:space="0" w:color="404040"/>
              <w:right w:val="single" w:sz="4" w:space="0" w:color="404040"/>
            </w:tcBorders>
            <w:shd w:val="clear" w:color="000000" w:fill="F2F2F2"/>
            <w:vAlign w:val="center"/>
            <w:hideMark/>
          </w:tcPr>
          <w:p w:rsidR="00DA3DF3" w:rsidRPr="00DA3DF3" w:rsidRDefault="00DA3DF3" w:rsidP="00416DE8">
            <w:pPr>
              <w:pStyle w:val="NoSpacing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A3DF3">
              <w:rPr>
                <w:rFonts w:ascii="Calibri" w:eastAsia="Times New Roman" w:hAnsi="Calibri" w:cs="Times New Roman"/>
                <w:b/>
                <w:bCs/>
                <w:color w:val="000000"/>
              </w:rPr>
              <w:t>Travel distances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40404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A3DF3" w:rsidRPr="00DA3DF3" w:rsidRDefault="00DA3DF3" w:rsidP="00416DE8">
            <w:pPr>
              <w:pStyle w:val="NoSpacing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A3DF3">
              <w:rPr>
                <w:rFonts w:ascii="Calibri" w:eastAsia="Times New Roman" w:hAnsi="Calibri" w:cs="Times New Roman"/>
                <w:b/>
                <w:bCs/>
                <w:color w:val="000000"/>
              </w:rPr>
              <w:t>Amount per participant</w:t>
            </w:r>
          </w:p>
        </w:tc>
      </w:tr>
      <w:tr w:rsidR="00DA3DF3" w:rsidRPr="00DA3DF3" w:rsidTr="00DA3DF3">
        <w:trPr>
          <w:trHeight w:val="36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  <w:hideMark/>
          </w:tcPr>
          <w:p w:rsidR="00DA3DF3" w:rsidRPr="00DA3DF3" w:rsidRDefault="00DA3DF3" w:rsidP="00416DE8">
            <w:pPr>
              <w:pStyle w:val="NoSpacing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3DF3">
              <w:rPr>
                <w:rFonts w:ascii="Calibri" w:eastAsia="Times New Roman" w:hAnsi="Calibri" w:cs="Times New Roman"/>
                <w:color w:val="000000"/>
              </w:rPr>
              <w:t>Between 100 and 499 km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40404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DF3" w:rsidRPr="00DA3DF3" w:rsidRDefault="00DA3DF3" w:rsidP="00416DE8">
            <w:pPr>
              <w:pStyle w:val="NoSpacing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A3DF3">
              <w:rPr>
                <w:rFonts w:ascii="Calibri" w:eastAsia="Times New Roman" w:hAnsi="Calibri" w:cs="Times New Roman"/>
                <w:b/>
                <w:bCs/>
                <w:color w:val="000000"/>
              </w:rPr>
              <w:t>180 EUR</w:t>
            </w:r>
          </w:p>
        </w:tc>
      </w:tr>
      <w:tr w:rsidR="00DA3DF3" w:rsidRPr="00DA3DF3" w:rsidTr="00DA3DF3">
        <w:trPr>
          <w:trHeight w:val="36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  <w:hideMark/>
          </w:tcPr>
          <w:p w:rsidR="00DA3DF3" w:rsidRPr="00DA3DF3" w:rsidRDefault="00DA3DF3" w:rsidP="00416DE8">
            <w:pPr>
              <w:pStyle w:val="NoSpacing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3DF3">
              <w:rPr>
                <w:rFonts w:ascii="Calibri" w:eastAsia="Times New Roman" w:hAnsi="Calibri" w:cs="Times New Roman"/>
                <w:color w:val="000000"/>
              </w:rPr>
              <w:t>Between 500 and 1999 km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40404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DF3" w:rsidRPr="00DA3DF3" w:rsidRDefault="00DA3DF3" w:rsidP="00416DE8">
            <w:pPr>
              <w:pStyle w:val="NoSpacing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A3DF3">
              <w:rPr>
                <w:rFonts w:ascii="Calibri" w:eastAsia="Times New Roman" w:hAnsi="Calibri" w:cs="Times New Roman"/>
                <w:b/>
                <w:bCs/>
                <w:color w:val="000000"/>
              </w:rPr>
              <w:t>275 EUR</w:t>
            </w:r>
          </w:p>
        </w:tc>
      </w:tr>
      <w:tr w:rsidR="00DA3DF3" w:rsidRPr="00DA3DF3" w:rsidTr="00DA3DF3">
        <w:trPr>
          <w:trHeight w:val="36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  <w:hideMark/>
          </w:tcPr>
          <w:p w:rsidR="00DA3DF3" w:rsidRPr="00DA3DF3" w:rsidRDefault="00DA3DF3" w:rsidP="00416DE8">
            <w:pPr>
              <w:pStyle w:val="NoSpacing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3DF3">
              <w:rPr>
                <w:rFonts w:ascii="Calibri" w:eastAsia="Times New Roman" w:hAnsi="Calibri" w:cs="Times New Roman"/>
                <w:color w:val="000000"/>
              </w:rPr>
              <w:t>Between 2000 and 2999 km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40404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DF3" w:rsidRPr="00DA3DF3" w:rsidRDefault="00DA3DF3" w:rsidP="00416DE8">
            <w:pPr>
              <w:pStyle w:val="NoSpacing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A3DF3">
              <w:rPr>
                <w:rFonts w:ascii="Calibri" w:eastAsia="Times New Roman" w:hAnsi="Calibri" w:cs="Times New Roman"/>
                <w:b/>
                <w:bCs/>
                <w:color w:val="000000"/>
              </w:rPr>
              <w:t>360 EUR</w:t>
            </w:r>
          </w:p>
        </w:tc>
      </w:tr>
      <w:tr w:rsidR="00DA3DF3" w:rsidRPr="00DA3DF3" w:rsidTr="00DA3DF3">
        <w:trPr>
          <w:trHeight w:val="36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  <w:hideMark/>
          </w:tcPr>
          <w:p w:rsidR="00DA3DF3" w:rsidRPr="00DA3DF3" w:rsidRDefault="00DA3DF3" w:rsidP="00416DE8">
            <w:pPr>
              <w:pStyle w:val="NoSpacing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3DF3">
              <w:rPr>
                <w:rFonts w:ascii="Calibri" w:eastAsia="Times New Roman" w:hAnsi="Calibri" w:cs="Times New Roman"/>
                <w:color w:val="000000"/>
              </w:rPr>
              <w:t>Between 3000 and 3999 km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40404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DF3" w:rsidRPr="00DA3DF3" w:rsidRDefault="00DA3DF3" w:rsidP="00416DE8">
            <w:pPr>
              <w:pStyle w:val="NoSpacing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A3DF3">
              <w:rPr>
                <w:rFonts w:ascii="Calibri" w:eastAsia="Times New Roman" w:hAnsi="Calibri" w:cs="Times New Roman"/>
                <w:b/>
                <w:bCs/>
                <w:color w:val="000000"/>
              </w:rPr>
              <w:t>530 EUR</w:t>
            </w:r>
          </w:p>
        </w:tc>
      </w:tr>
      <w:tr w:rsidR="00DA3DF3" w:rsidRPr="00DA3DF3" w:rsidTr="00DA3DF3">
        <w:trPr>
          <w:trHeight w:val="36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  <w:hideMark/>
          </w:tcPr>
          <w:p w:rsidR="00DA3DF3" w:rsidRPr="00DA3DF3" w:rsidRDefault="00DA3DF3" w:rsidP="00416DE8">
            <w:pPr>
              <w:pStyle w:val="NoSpacing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3DF3">
              <w:rPr>
                <w:rFonts w:ascii="Calibri" w:eastAsia="Times New Roman" w:hAnsi="Calibri" w:cs="Times New Roman"/>
                <w:color w:val="000000"/>
              </w:rPr>
              <w:t>Between 4000 and 7999 km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40404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DF3" w:rsidRPr="00DA3DF3" w:rsidRDefault="00DA3DF3" w:rsidP="00416DE8">
            <w:pPr>
              <w:pStyle w:val="NoSpacing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A3DF3">
              <w:rPr>
                <w:rFonts w:ascii="Calibri" w:eastAsia="Times New Roman" w:hAnsi="Calibri" w:cs="Times New Roman"/>
                <w:b/>
                <w:bCs/>
                <w:color w:val="000000"/>
              </w:rPr>
              <w:t>820 EUR</w:t>
            </w:r>
          </w:p>
        </w:tc>
      </w:tr>
      <w:tr w:rsidR="00DA3DF3" w:rsidRPr="00DA3DF3" w:rsidTr="00DA3DF3">
        <w:trPr>
          <w:trHeight w:val="36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404040"/>
            </w:tcBorders>
            <w:shd w:val="clear" w:color="auto" w:fill="auto"/>
            <w:vAlign w:val="center"/>
            <w:hideMark/>
          </w:tcPr>
          <w:p w:rsidR="00DA3DF3" w:rsidRPr="00DA3DF3" w:rsidRDefault="00DA3DF3" w:rsidP="00416DE8">
            <w:pPr>
              <w:pStyle w:val="NoSpacing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3DF3">
              <w:rPr>
                <w:rFonts w:ascii="Calibri" w:eastAsia="Times New Roman" w:hAnsi="Calibri" w:cs="Times New Roman"/>
                <w:color w:val="000000"/>
              </w:rPr>
              <w:t>8000 km or more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DF3" w:rsidRPr="00DA3DF3" w:rsidRDefault="00DA3DF3" w:rsidP="00416DE8">
            <w:pPr>
              <w:pStyle w:val="NoSpacing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A3DF3">
              <w:rPr>
                <w:rFonts w:ascii="Calibri" w:eastAsia="Times New Roman" w:hAnsi="Calibri" w:cs="Times New Roman"/>
                <w:b/>
                <w:bCs/>
                <w:color w:val="000000"/>
              </w:rPr>
              <w:t>1.100 EUR</w:t>
            </w:r>
          </w:p>
        </w:tc>
      </w:tr>
    </w:tbl>
    <w:p w:rsidR="00DA3DF3" w:rsidRDefault="00DA3DF3" w:rsidP="00394EF1">
      <w:pPr>
        <w:pStyle w:val="NoSpacing"/>
      </w:pPr>
    </w:p>
    <w:p w:rsidR="009F602A" w:rsidRDefault="009F602A" w:rsidP="009F602A">
      <w:pPr>
        <w:pStyle w:val="NoSpacing"/>
        <w:jc w:val="both"/>
        <w:rPr>
          <w:b/>
          <w:sz w:val="28"/>
          <w:szCs w:val="28"/>
        </w:rPr>
      </w:pPr>
    </w:p>
    <w:p w:rsidR="000A4721" w:rsidRDefault="000A4721" w:rsidP="009F602A">
      <w:pPr>
        <w:pStyle w:val="NoSpacing"/>
        <w:jc w:val="both"/>
        <w:rPr>
          <w:b/>
          <w:sz w:val="28"/>
          <w:szCs w:val="28"/>
        </w:rPr>
      </w:pPr>
    </w:p>
    <w:p w:rsidR="000A4721" w:rsidRDefault="000A4721" w:rsidP="009F602A">
      <w:pPr>
        <w:pStyle w:val="NoSpacing"/>
        <w:jc w:val="both"/>
        <w:rPr>
          <w:b/>
          <w:sz w:val="28"/>
          <w:szCs w:val="28"/>
        </w:rPr>
      </w:pPr>
    </w:p>
    <w:p w:rsidR="000A4721" w:rsidRDefault="000A4721" w:rsidP="009F602A">
      <w:pPr>
        <w:pStyle w:val="NoSpacing"/>
        <w:jc w:val="both"/>
        <w:rPr>
          <w:b/>
          <w:sz w:val="28"/>
          <w:szCs w:val="28"/>
        </w:rPr>
      </w:pPr>
    </w:p>
    <w:p w:rsidR="009F602A" w:rsidRPr="009F602A" w:rsidRDefault="009F602A" w:rsidP="009F602A">
      <w:pPr>
        <w:pStyle w:val="NoSpacing"/>
        <w:jc w:val="both"/>
        <w:rPr>
          <w:sz w:val="28"/>
          <w:szCs w:val="28"/>
        </w:rPr>
      </w:pPr>
      <w:r w:rsidRPr="009F602A">
        <w:rPr>
          <w:b/>
          <w:sz w:val="28"/>
          <w:szCs w:val="28"/>
        </w:rPr>
        <w:t>Important Notes:</w:t>
      </w:r>
      <w:r w:rsidRPr="009F602A">
        <w:rPr>
          <w:sz w:val="28"/>
          <w:szCs w:val="28"/>
        </w:rPr>
        <w:t xml:space="preserve"> </w:t>
      </w:r>
    </w:p>
    <w:p w:rsidR="009F602A" w:rsidRDefault="009F602A" w:rsidP="009F602A">
      <w:pPr>
        <w:pStyle w:val="NoSpacing"/>
        <w:jc w:val="both"/>
      </w:pPr>
    </w:p>
    <w:p w:rsidR="009F602A" w:rsidRDefault="009F602A" w:rsidP="00C50875">
      <w:pPr>
        <w:pStyle w:val="NoSpacing"/>
        <w:jc w:val="both"/>
      </w:pPr>
      <w:r w:rsidRPr="00617557">
        <w:rPr>
          <w:b/>
        </w:rPr>
        <w:t>Accommodation and meals</w:t>
      </w:r>
      <w:r>
        <w:t xml:space="preserve"> are not provided. You will need to use your subsistence allowance to cover these expenses. For information about available places in students’ dormitories or renting a flat, please contact the host University.</w:t>
      </w:r>
    </w:p>
    <w:p w:rsidR="00DA3DF3" w:rsidRDefault="00DA3DF3" w:rsidP="00C50875">
      <w:pPr>
        <w:pStyle w:val="NoSpacing"/>
        <w:jc w:val="both"/>
      </w:pPr>
    </w:p>
    <w:p w:rsidR="00B61C91" w:rsidRDefault="00B61C91" w:rsidP="00C50875">
      <w:pPr>
        <w:pStyle w:val="NoSpacing"/>
        <w:jc w:val="both"/>
      </w:pPr>
      <w:r>
        <w:t>In majority of cases you will have to buy the ticket</w:t>
      </w:r>
      <w:r w:rsidR="00AC4F9C">
        <w:t xml:space="preserve"> yourself and receive refund calculated on the basis of the amounts</w:t>
      </w:r>
      <w:r w:rsidR="002C3A00">
        <w:t xml:space="preserve"> and distances</w:t>
      </w:r>
      <w:r w:rsidR="00AC4F9C">
        <w:t xml:space="preserve"> in </w:t>
      </w:r>
      <w:r w:rsidR="002C3A00">
        <w:t>the table</w:t>
      </w:r>
      <w:r w:rsidR="00AC4F9C">
        <w:t xml:space="preserve"> above. The refund will be done by the Program Country University.</w:t>
      </w:r>
    </w:p>
    <w:p w:rsidR="00CF60BF" w:rsidRDefault="00CF60BF" w:rsidP="00C50875">
      <w:pPr>
        <w:pStyle w:val="NoSpacing"/>
        <w:jc w:val="both"/>
      </w:pPr>
    </w:p>
    <w:p w:rsidR="00CF60BF" w:rsidRDefault="00CF60BF" w:rsidP="00C50875">
      <w:pPr>
        <w:pStyle w:val="NoSpacing"/>
        <w:jc w:val="both"/>
      </w:pPr>
      <w:r>
        <w:t>Subsistence allowance is paid upon</w:t>
      </w:r>
      <w:r w:rsidR="00972666">
        <w:t xml:space="preserve"> the</w:t>
      </w:r>
      <w:r>
        <w:t xml:space="preserve"> </w:t>
      </w:r>
      <w:r w:rsidR="00972666">
        <w:t>C</w:t>
      </w:r>
      <w:r>
        <w:t xml:space="preserve">onfirmation of arrival </w:t>
      </w:r>
      <w:r w:rsidR="00972666">
        <w:t xml:space="preserve">sent to the home University </w:t>
      </w:r>
      <w:r>
        <w:t xml:space="preserve">and you will need to have </w:t>
      </w:r>
      <w:r w:rsidR="00972666">
        <w:t xml:space="preserve">an </w:t>
      </w:r>
      <w:r>
        <w:t xml:space="preserve">active bank account. </w:t>
      </w:r>
      <w:r w:rsidR="00972666">
        <w:t>Please check in advance whether you will need to open the bank account in the host country or not.</w:t>
      </w:r>
      <w:r>
        <w:t xml:space="preserve"> </w:t>
      </w:r>
    </w:p>
    <w:p w:rsidR="00B61C91" w:rsidRDefault="00B61C91" w:rsidP="00C50875">
      <w:pPr>
        <w:pStyle w:val="NoSpacing"/>
        <w:jc w:val="both"/>
      </w:pPr>
    </w:p>
    <w:p w:rsidR="009F602A" w:rsidRDefault="009F602A" w:rsidP="00C50875">
      <w:pPr>
        <w:pStyle w:val="NoSpacing"/>
        <w:jc w:val="both"/>
      </w:pPr>
      <w:r w:rsidRPr="000A4721">
        <w:rPr>
          <w:b/>
        </w:rPr>
        <w:t>Medical insurance</w:t>
      </w:r>
      <w:r>
        <w:t xml:space="preserve"> is not provide</w:t>
      </w:r>
      <w:r w:rsidR="00972666">
        <w:t>d by</w:t>
      </w:r>
      <w:r>
        <w:t xml:space="preserve"> Erasmus+ program.</w:t>
      </w:r>
    </w:p>
    <w:p w:rsidR="00721777" w:rsidRDefault="00721777" w:rsidP="00C50875">
      <w:pPr>
        <w:pStyle w:val="NoSpacing"/>
        <w:jc w:val="both"/>
      </w:pPr>
    </w:p>
    <w:p w:rsidR="00721777" w:rsidRDefault="00721777" w:rsidP="00C50875">
      <w:pPr>
        <w:pStyle w:val="NoSpacing"/>
        <w:jc w:val="both"/>
      </w:pPr>
      <w:r>
        <w:t xml:space="preserve">Upon arrival first visit </w:t>
      </w:r>
      <w:r w:rsidR="00972666">
        <w:t xml:space="preserve">the </w:t>
      </w:r>
      <w:r>
        <w:t>International Relations Office</w:t>
      </w:r>
      <w:r w:rsidR="00972666">
        <w:t xml:space="preserve"> of your host University</w:t>
      </w:r>
      <w:r>
        <w:t>. If you are staying more than 3 months you will need to get</w:t>
      </w:r>
      <w:r w:rsidR="00972666">
        <w:t xml:space="preserve"> a</w:t>
      </w:r>
      <w:r>
        <w:t xml:space="preserve"> temporary stay visa or student’s visa. Either way</w:t>
      </w:r>
      <w:r w:rsidR="00972666">
        <w:t xml:space="preserve"> is you need to register at the local O</w:t>
      </w:r>
      <w:r>
        <w:t xml:space="preserve">ffice for </w:t>
      </w:r>
      <w:r w:rsidR="00972666">
        <w:t>F</w:t>
      </w:r>
      <w:r>
        <w:t>oreigners. For more information</w:t>
      </w:r>
      <w:r w:rsidR="00972666">
        <w:t>, please</w:t>
      </w:r>
      <w:r>
        <w:t xml:space="preserve"> contact </w:t>
      </w:r>
      <w:r w:rsidR="00972666">
        <w:t xml:space="preserve">the </w:t>
      </w:r>
      <w:r>
        <w:t xml:space="preserve">host </w:t>
      </w:r>
      <w:r w:rsidR="00972666">
        <w:t>University</w:t>
      </w:r>
      <w:r>
        <w:t xml:space="preserve"> International Relations Office.</w:t>
      </w:r>
    </w:p>
    <w:p w:rsidR="00617557" w:rsidRDefault="00617557" w:rsidP="00394EF1">
      <w:pPr>
        <w:pStyle w:val="NoSpacing"/>
      </w:pPr>
    </w:p>
    <w:p w:rsidR="00B61C91" w:rsidRDefault="00B61C91" w:rsidP="00394EF1">
      <w:pPr>
        <w:pStyle w:val="NoSpacing"/>
      </w:pPr>
    </w:p>
    <w:p w:rsidR="00B61C91" w:rsidRPr="00721777" w:rsidRDefault="00B61C91" w:rsidP="00394EF1">
      <w:pPr>
        <w:pStyle w:val="NoSpacing"/>
        <w:rPr>
          <w:b/>
          <w:color w:val="00B0F0"/>
          <w:sz w:val="36"/>
          <w:szCs w:val="36"/>
        </w:rPr>
      </w:pPr>
      <w:r w:rsidRPr="00721777">
        <w:rPr>
          <w:b/>
          <w:color w:val="00B0F0"/>
          <w:sz w:val="36"/>
          <w:szCs w:val="36"/>
        </w:rPr>
        <w:t>We hope you will enjoy your mobility where ever you go!</w:t>
      </w:r>
    </w:p>
    <w:sectPr w:rsidR="00B61C91" w:rsidRPr="00721777" w:rsidSect="00C50875">
      <w:pgSz w:w="11907" w:h="16839" w:code="9"/>
      <w:pgMar w:top="993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savska BG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117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0173"/>
    <w:multiLevelType w:val="hybridMultilevel"/>
    <w:tmpl w:val="FD4A84A6"/>
    <w:lvl w:ilvl="0" w:tplc="BF7464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A6DB9"/>
    <w:multiLevelType w:val="hybridMultilevel"/>
    <w:tmpl w:val="3D40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F4DC4"/>
    <w:multiLevelType w:val="hybridMultilevel"/>
    <w:tmpl w:val="4CA8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41269"/>
    <w:multiLevelType w:val="hybridMultilevel"/>
    <w:tmpl w:val="08609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35AB1"/>
    <w:multiLevelType w:val="hybridMultilevel"/>
    <w:tmpl w:val="1C2E6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60E2F"/>
    <w:multiLevelType w:val="hybridMultilevel"/>
    <w:tmpl w:val="052CC006"/>
    <w:lvl w:ilvl="0" w:tplc="87CE56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B3F5E"/>
    <w:multiLevelType w:val="hybridMultilevel"/>
    <w:tmpl w:val="16F65520"/>
    <w:lvl w:ilvl="0" w:tplc="139A69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C5ACE"/>
    <w:multiLevelType w:val="hybridMultilevel"/>
    <w:tmpl w:val="F9246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409EF"/>
    <w:multiLevelType w:val="hybridMultilevel"/>
    <w:tmpl w:val="B3FA2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057FA6"/>
    <w:multiLevelType w:val="hybridMultilevel"/>
    <w:tmpl w:val="371C8B04"/>
    <w:lvl w:ilvl="0" w:tplc="51EA1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C70D84"/>
    <w:multiLevelType w:val="hybridMultilevel"/>
    <w:tmpl w:val="982ECB4E"/>
    <w:lvl w:ilvl="0" w:tplc="130E76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D64655"/>
    <w:multiLevelType w:val="hybridMultilevel"/>
    <w:tmpl w:val="E6CA5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A3003D"/>
    <w:multiLevelType w:val="hybridMultilevel"/>
    <w:tmpl w:val="6EF4181E"/>
    <w:lvl w:ilvl="0" w:tplc="B9603F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0A5365"/>
    <w:multiLevelType w:val="hybridMultilevel"/>
    <w:tmpl w:val="332A5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1F61E9"/>
    <w:multiLevelType w:val="hybridMultilevel"/>
    <w:tmpl w:val="44D05138"/>
    <w:lvl w:ilvl="0" w:tplc="A030D8F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26587988">
      <w:start w:val="1"/>
      <w:numFmt w:val="lowerLetter"/>
      <w:pStyle w:val="UniverzitetuBeogradu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3870ED"/>
    <w:multiLevelType w:val="hybridMultilevel"/>
    <w:tmpl w:val="6B3429E2"/>
    <w:lvl w:ilvl="0" w:tplc="666488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0A5AE8"/>
    <w:multiLevelType w:val="hybridMultilevel"/>
    <w:tmpl w:val="70002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FD7D1C"/>
    <w:multiLevelType w:val="hybridMultilevel"/>
    <w:tmpl w:val="BE8EF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11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16"/>
  </w:num>
  <w:num w:numId="12">
    <w:abstractNumId w:val="12"/>
  </w:num>
  <w:num w:numId="13">
    <w:abstractNumId w:val="3"/>
  </w:num>
  <w:num w:numId="14">
    <w:abstractNumId w:val="0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D36"/>
    <w:rsid w:val="00094940"/>
    <w:rsid w:val="000A4721"/>
    <w:rsid w:val="00212518"/>
    <w:rsid w:val="002300AB"/>
    <w:rsid w:val="002C3A00"/>
    <w:rsid w:val="00394EF1"/>
    <w:rsid w:val="00416DE8"/>
    <w:rsid w:val="00467F31"/>
    <w:rsid w:val="0048436A"/>
    <w:rsid w:val="00486207"/>
    <w:rsid w:val="004D07A9"/>
    <w:rsid w:val="00617557"/>
    <w:rsid w:val="00721777"/>
    <w:rsid w:val="0073372F"/>
    <w:rsid w:val="008A4DF1"/>
    <w:rsid w:val="009275CB"/>
    <w:rsid w:val="00972666"/>
    <w:rsid w:val="009F602A"/>
    <w:rsid w:val="00AB3D36"/>
    <w:rsid w:val="00AC4F9C"/>
    <w:rsid w:val="00B61C91"/>
    <w:rsid w:val="00B9777A"/>
    <w:rsid w:val="00BE03A2"/>
    <w:rsid w:val="00C50875"/>
    <w:rsid w:val="00CF60BF"/>
    <w:rsid w:val="00DA3DF3"/>
    <w:rsid w:val="00F6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iverzitetuBeogradu">
    <w:name w:val="Univerzitet u Beogradu"/>
    <w:basedOn w:val="NoSpacing"/>
    <w:next w:val="NoSpacing"/>
    <w:qFormat/>
    <w:rsid w:val="00F67899"/>
    <w:pPr>
      <w:numPr>
        <w:ilvl w:val="1"/>
        <w:numId w:val="1"/>
      </w:numPr>
      <w:jc w:val="both"/>
    </w:pPr>
    <w:rPr>
      <w:rFonts w:ascii="Resavska BG" w:hAnsi="Resavska BG"/>
      <w:color w:val="404040" w:themeColor="text1" w:themeTint="BF"/>
      <w:lang w:val="sr-Cyrl-RS"/>
    </w:rPr>
  </w:style>
  <w:style w:type="paragraph" w:styleId="NoSpacing">
    <w:name w:val="No Spacing"/>
    <w:uiPriority w:val="1"/>
    <w:qFormat/>
    <w:rsid w:val="00F6789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602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D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iverzitetuBeogradu">
    <w:name w:val="Univerzitet u Beogradu"/>
    <w:basedOn w:val="NoSpacing"/>
    <w:next w:val="NoSpacing"/>
    <w:qFormat/>
    <w:rsid w:val="00F67899"/>
    <w:pPr>
      <w:numPr>
        <w:ilvl w:val="1"/>
        <w:numId w:val="1"/>
      </w:numPr>
      <w:jc w:val="both"/>
    </w:pPr>
    <w:rPr>
      <w:rFonts w:ascii="Resavska BG" w:hAnsi="Resavska BG"/>
      <w:color w:val="404040" w:themeColor="text1" w:themeTint="BF"/>
      <w:lang w:val="sr-Cyrl-RS"/>
    </w:rPr>
  </w:style>
  <w:style w:type="paragraph" w:styleId="NoSpacing">
    <w:name w:val="No Spacing"/>
    <w:uiPriority w:val="1"/>
    <w:qFormat/>
    <w:rsid w:val="00F6789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602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upgrade.esn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 Ivetić</dc:creator>
  <cp:lastModifiedBy>Boketta</cp:lastModifiedBy>
  <cp:revision>2</cp:revision>
  <cp:lastPrinted>2016-02-25T11:56:00Z</cp:lastPrinted>
  <dcterms:created xsi:type="dcterms:W3CDTF">2016-03-21T10:54:00Z</dcterms:created>
  <dcterms:modified xsi:type="dcterms:W3CDTF">2016-03-21T10:54:00Z</dcterms:modified>
</cp:coreProperties>
</file>