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2B8" w:rsidRDefault="00F732B8" w:rsidP="00700DA6"/>
    <w:p w:rsidR="00156B14" w:rsidRDefault="00156B14" w:rsidP="00156B14">
      <w:pPr>
        <w:spacing w:line="300" w:lineRule="exact"/>
        <w:jc w:val="center"/>
        <w:rPr>
          <w:rFonts w:ascii="Arial" w:hAnsi="Arial" w:cs="Arial"/>
          <w:b/>
          <w:sz w:val="18"/>
          <w:szCs w:val="18"/>
          <w:lang w:val="sr-Cyrl-CS"/>
        </w:rPr>
      </w:pPr>
      <w:r>
        <w:rPr>
          <w:rFonts w:ascii="Arial" w:hAnsi="Arial" w:cs="Arial"/>
          <w:b/>
          <w:sz w:val="18"/>
          <w:szCs w:val="18"/>
          <w:lang w:val="sr-Cyrl-CS"/>
        </w:rPr>
        <w:t>УПУТСТВО – Бирање предмета у школској 2022/23. години</w:t>
      </w:r>
    </w:p>
    <w:p w:rsidR="00156B14" w:rsidRDefault="00156B14" w:rsidP="00156B14">
      <w:pPr>
        <w:spacing w:line="300" w:lineRule="exact"/>
        <w:rPr>
          <w:rFonts w:ascii="Arial" w:hAnsi="Arial" w:cs="Arial"/>
          <w:b/>
          <w:sz w:val="18"/>
          <w:szCs w:val="18"/>
          <w:lang w:val="sr-Cyrl-CS"/>
        </w:rPr>
      </w:pPr>
      <w:r>
        <w:rPr>
          <w:rFonts w:ascii="Arial" w:hAnsi="Arial" w:cs="Arial"/>
          <w:b/>
          <w:sz w:val="18"/>
          <w:szCs w:val="18"/>
          <w:lang w:val="sr-Cyrl-CS"/>
        </w:rPr>
        <w:t>Бирање предмета</w:t>
      </w:r>
    </w:p>
    <w:p w:rsid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 xml:space="preserve">Сви студенти приликом уписа наредне године студија опредељују се за предмете које ће слушати и полагати у школској 2022/23. години. Приликом уписа, пријављују предмете за слушање, прво из претходне године које нису положили, а затим из наредне године студија. </w:t>
      </w:r>
    </w:p>
    <w:p w:rsidR="00156B14" w:rsidRDefault="00156B14" w:rsidP="00156B14">
      <w:pPr>
        <w:spacing w:line="300" w:lineRule="exact"/>
        <w:rPr>
          <w:rFonts w:ascii="Arial" w:hAnsi="Arial" w:cs="Arial"/>
          <w:sz w:val="18"/>
          <w:szCs w:val="18"/>
          <w:lang w:val="en-GB"/>
        </w:rPr>
      </w:pPr>
      <w:r>
        <w:rPr>
          <w:rFonts w:ascii="Arial" w:hAnsi="Arial" w:cs="Arial"/>
          <w:sz w:val="18"/>
          <w:szCs w:val="18"/>
          <w:lang w:val="sr-Cyrl-CS"/>
        </w:rPr>
        <w:t>Број ЕСПБ бодова за које се студент определи, мора бити најмање 37 ЕСПБ бодова (самофинансирајући студент), односно најмање 60 ЕСПБ бодова (студент који се финансира „на терет буџета“), а највише:</w:t>
      </w:r>
    </w:p>
    <w:p w:rsidR="00156B14" w:rsidRDefault="00156B14" w:rsidP="00156B14">
      <w:pPr>
        <w:numPr>
          <w:ilvl w:val="0"/>
          <w:numId w:val="7"/>
        </w:numPr>
        <w:spacing w:line="300" w:lineRule="exact"/>
        <w:rPr>
          <w:rFonts w:ascii="Arial" w:hAnsi="Arial" w:cs="Arial"/>
          <w:sz w:val="18"/>
          <w:szCs w:val="18"/>
          <w:lang w:val="sr-Cyrl-CS"/>
        </w:rPr>
      </w:pPr>
      <w:r>
        <w:rPr>
          <w:rFonts w:ascii="Arial" w:hAnsi="Arial" w:cs="Arial"/>
          <w:sz w:val="18"/>
          <w:szCs w:val="18"/>
          <w:lang w:val="sr-Cyrl-CS"/>
        </w:rPr>
        <w:t>64,  уколико ниједан предмет за који се студент определи не вреди 4 или 3 ЕСПБ бода,</w:t>
      </w:r>
    </w:p>
    <w:p w:rsidR="00156B14" w:rsidRDefault="00156B14" w:rsidP="00156B14">
      <w:pPr>
        <w:numPr>
          <w:ilvl w:val="0"/>
          <w:numId w:val="7"/>
        </w:numPr>
        <w:spacing w:line="300" w:lineRule="exact"/>
        <w:rPr>
          <w:rFonts w:ascii="Arial" w:hAnsi="Arial" w:cs="Arial"/>
          <w:sz w:val="18"/>
          <w:szCs w:val="18"/>
          <w:lang w:val="sr-Cyrl-CS"/>
        </w:rPr>
      </w:pPr>
      <w:r>
        <w:rPr>
          <w:rFonts w:ascii="Arial" w:hAnsi="Arial" w:cs="Arial"/>
          <w:sz w:val="18"/>
          <w:szCs w:val="18"/>
          <w:lang w:val="sr-Cyrl-CS"/>
        </w:rPr>
        <w:t>63,  уколико ниједан предмет за који се студент определи не вреди 3 ЕСПБ бода;</w:t>
      </w:r>
    </w:p>
    <w:p w:rsid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осим ако му је до краја студијског програма остало мање од 37 ЕСПБ бодова.</w:t>
      </w:r>
    </w:p>
    <w:p w:rsid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Студентима који пријаве предмет за слушање супротно овом упутству, предмет који је неправилно пријављен биће одјављен.</w:t>
      </w:r>
    </w:p>
    <w:p w:rsidR="00156B14" w:rsidRDefault="00156B14" w:rsidP="00156B14">
      <w:pPr>
        <w:spacing w:line="300" w:lineRule="exact"/>
        <w:rPr>
          <w:rFonts w:ascii="Arial" w:hAnsi="Arial" w:cs="Arial"/>
          <w:sz w:val="18"/>
          <w:szCs w:val="18"/>
          <w:u w:val="single"/>
          <w:lang w:val="sr-Cyrl-CS"/>
        </w:rPr>
      </w:pPr>
      <w:r>
        <w:rPr>
          <w:rFonts w:ascii="Arial" w:hAnsi="Arial" w:cs="Arial"/>
          <w:sz w:val="18"/>
          <w:szCs w:val="18"/>
          <w:lang w:val="sr-Cyrl-CS"/>
        </w:rPr>
        <w:t xml:space="preserve">Бирање предмета се може извршити </w:t>
      </w:r>
      <w:r>
        <w:rPr>
          <w:rFonts w:ascii="Arial" w:hAnsi="Arial" w:cs="Arial"/>
          <w:sz w:val="18"/>
          <w:szCs w:val="18"/>
          <w:u w:val="single"/>
          <w:lang w:val="sr-Cyrl-CS"/>
        </w:rPr>
        <w:t>најкасније до 15.10.2022. године.</w:t>
      </w:r>
    </w:p>
    <w:p w:rsid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Предмети се бирају на почетку школске 202</w:t>
      </w:r>
      <w:r>
        <w:rPr>
          <w:rFonts w:ascii="Arial" w:hAnsi="Arial" w:cs="Arial"/>
          <w:sz w:val="18"/>
          <w:szCs w:val="18"/>
          <w:lang w:val="sr-Latn-RS"/>
        </w:rPr>
        <w:t>2</w:t>
      </w:r>
      <w:r>
        <w:rPr>
          <w:rFonts w:ascii="Arial" w:hAnsi="Arial" w:cs="Arial"/>
          <w:sz w:val="18"/>
          <w:szCs w:val="18"/>
          <w:lang w:val="sr-Cyrl-CS"/>
        </w:rPr>
        <w:t>/2</w:t>
      </w:r>
      <w:r>
        <w:rPr>
          <w:rFonts w:ascii="Arial" w:hAnsi="Arial" w:cs="Arial"/>
          <w:sz w:val="18"/>
          <w:szCs w:val="18"/>
          <w:lang w:val="sr-Latn-RS"/>
        </w:rPr>
        <w:t>3</w:t>
      </w:r>
      <w:r>
        <w:rPr>
          <w:rFonts w:ascii="Arial" w:hAnsi="Arial" w:cs="Arial"/>
          <w:sz w:val="18"/>
          <w:szCs w:val="18"/>
          <w:lang w:val="sr-Cyrl-CS"/>
        </w:rPr>
        <w:t xml:space="preserve">. године и не могу се мењати другим предметима, све до почетка наредне школске године. </w:t>
      </w:r>
    </w:p>
    <w:p w:rsidR="00156B14" w:rsidRDefault="00156B14" w:rsidP="00156B14">
      <w:pPr>
        <w:spacing w:line="300" w:lineRule="exact"/>
        <w:rPr>
          <w:rFonts w:ascii="Arial" w:hAnsi="Arial" w:cs="Arial"/>
          <w:b/>
          <w:sz w:val="18"/>
          <w:szCs w:val="18"/>
          <w:lang w:val="sr-Cyrl-CS"/>
        </w:rPr>
      </w:pPr>
      <w:r>
        <w:rPr>
          <w:rFonts w:ascii="Arial" w:hAnsi="Arial" w:cs="Arial"/>
          <w:b/>
          <w:sz w:val="18"/>
          <w:szCs w:val="18"/>
          <w:lang w:val="sr-Cyrl-CS"/>
        </w:rPr>
        <w:t>Допуна предмета из летњег семестра</w:t>
      </w:r>
    </w:p>
    <w:p w:rsid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Студент може на почетку пролећног семестра да промени или допуни листу изабраних предмета, уколико је положио испит из претходне школске године (из летњег семестра) до почетка наставе из тог предмета у текућој школској години. Допуна се врши на основу молбе којa се подноси продекану за наставу електронским путем (е-студент), а бодови се наплаћују сходно Одлуци о висини школарине, а према висини износа за ЕСПБ бодове – прво слушање.</w:t>
      </w:r>
    </w:p>
    <w:p w:rsidR="00156B14" w:rsidRDefault="00156B14" w:rsidP="00156B14">
      <w:pPr>
        <w:spacing w:line="300" w:lineRule="exact"/>
        <w:rPr>
          <w:rFonts w:ascii="Arial" w:hAnsi="Arial" w:cs="Arial"/>
          <w:b/>
          <w:sz w:val="18"/>
          <w:szCs w:val="18"/>
          <w:lang w:val="sr-Cyrl-CS"/>
        </w:rPr>
      </w:pPr>
      <w:r>
        <w:rPr>
          <w:rFonts w:ascii="Arial" w:hAnsi="Arial" w:cs="Arial"/>
          <w:b/>
          <w:sz w:val="18"/>
          <w:szCs w:val="18"/>
          <w:lang w:val="sr-Cyrl-CS"/>
        </w:rPr>
        <w:t>Додатни бодови</w:t>
      </w:r>
    </w:p>
    <w:p w:rsid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 xml:space="preserve">Да би студент пријавио додатне бодове, прво мора изабрати предмете за слушање у оквиру броја ЕСПБ бодова обухваћеног ценом школарине (до 60 ЕСПБ – види део- Бирање предмета). Омогућава се студентима, да уз накнаду за цену бода за прво слушање, пријаве додатне предмете за слушање, до 72 ЕСПБ бода у школској 2022/23 години, а студентима који у току студирања остварили преко 150 ЕСПБ бодова, омогућава се пријава додатних предмета за слушање, до 90 ЕСПБ бодова у школској 2022/2023 години. Молбе се подносе електронским путем (преко апликације е-студент) </w:t>
      </w:r>
      <w:r>
        <w:rPr>
          <w:rFonts w:ascii="Arial" w:hAnsi="Arial" w:cs="Arial"/>
          <w:sz w:val="18"/>
          <w:szCs w:val="18"/>
          <w:u w:val="single"/>
          <w:lang w:val="sr-Cyrl-CS"/>
        </w:rPr>
        <w:t>у периоду од 10.10.2022. године до 20.10.2022. године</w:t>
      </w:r>
      <w:r>
        <w:rPr>
          <w:rFonts w:ascii="Arial" w:hAnsi="Arial" w:cs="Arial"/>
          <w:sz w:val="18"/>
          <w:szCs w:val="18"/>
          <w:lang w:val="sr-Cyrl-CS"/>
        </w:rPr>
        <w:t>. Раније и касније поднете молбе неће се разматрати. Непотпуне молбе – које не садрже списак предмета који се додатно пријављују за слушање, такође се неће разматрати. Рок за плаћање додатних бодова ће бити најкасније до 21.10.2022. године (2.425,00 динара по ЕСПБ боду, односно 2.600,00 динара по ЕСПБ боду за студенте на студијском програму ИСиТ-даљина).</w:t>
      </w:r>
    </w:p>
    <w:p w:rsidR="00156B14" w:rsidRDefault="00156B14" w:rsidP="00156B14">
      <w:pPr>
        <w:spacing w:line="300" w:lineRule="exact"/>
        <w:rPr>
          <w:rFonts w:ascii="Arial" w:hAnsi="Arial" w:cs="Arial"/>
          <w:b/>
          <w:sz w:val="18"/>
          <w:szCs w:val="18"/>
          <w:lang w:val="sr-Cyrl-CS"/>
        </w:rPr>
      </w:pPr>
      <w:r>
        <w:rPr>
          <w:rFonts w:ascii="Arial" w:hAnsi="Arial" w:cs="Arial"/>
          <w:b/>
          <w:sz w:val="18"/>
          <w:szCs w:val="18"/>
          <w:lang w:val="sr-Cyrl-CS"/>
        </w:rPr>
        <w:t>Убрзано студирање</w:t>
      </w:r>
    </w:p>
    <w:p w:rsid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 xml:space="preserve">У циљу бржег завршавања и ефикаснијег студирања, студентима који су у својој претходној години школовања (21/22) стекли </w:t>
      </w:r>
      <w:r>
        <w:rPr>
          <w:rFonts w:ascii="Arial" w:hAnsi="Arial" w:cs="Arial"/>
          <w:sz w:val="18"/>
          <w:szCs w:val="18"/>
          <w:u w:val="single"/>
          <w:lang w:val="sr-Cyrl-CS"/>
        </w:rPr>
        <w:t>60 ЕСПБ бодова са просечном оценом већом од 8.5</w:t>
      </w:r>
      <w:r>
        <w:rPr>
          <w:rFonts w:ascii="Arial" w:hAnsi="Arial" w:cs="Arial"/>
          <w:sz w:val="18"/>
          <w:szCs w:val="18"/>
          <w:lang w:val="sr-Cyrl-CS"/>
        </w:rPr>
        <w:t xml:space="preserve"> може се омогућити упис између 60 и 90 ЕСПБ бодова (студенти са убрзаним студирањем). Да би остварио ово право, студент подноси молбу (за убрзано студирање) електронским путем (е-студент). Додатне бодове остварује без накнаде. Молбе се подносе електронским путем (преко апликације е-студент) </w:t>
      </w:r>
      <w:r>
        <w:rPr>
          <w:rFonts w:ascii="Arial" w:hAnsi="Arial" w:cs="Arial"/>
          <w:sz w:val="18"/>
          <w:szCs w:val="18"/>
          <w:u w:val="single"/>
          <w:lang w:val="sr-Cyrl-CS"/>
        </w:rPr>
        <w:t>у периоду од 10.10.2022. године до 20.10.2022. године</w:t>
      </w:r>
      <w:r>
        <w:rPr>
          <w:rFonts w:ascii="Arial" w:hAnsi="Arial" w:cs="Arial"/>
          <w:sz w:val="18"/>
          <w:szCs w:val="18"/>
          <w:lang w:val="sr-Cyrl-CS"/>
        </w:rPr>
        <w:t>. Раније и касније поднете молбе неће се разматрати. Непотпуне молбе – које не садрже списак предмета који се додатно пријављују за слушање, такође се неће разматрати.</w:t>
      </w:r>
    </w:p>
    <w:p w:rsidR="00156B14" w:rsidRDefault="00156B14" w:rsidP="00156B14">
      <w:pPr>
        <w:spacing w:line="300" w:lineRule="exact"/>
        <w:rPr>
          <w:rFonts w:ascii="Arial" w:hAnsi="Arial" w:cs="Arial"/>
          <w:b/>
          <w:sz w:val="18"/>
          <w:szCs w:val="18"/>
          <w:lang w:val="sr-Cyrl-CS"/>
        </w:rPr>
      </w:pPr>
      <w:r>
        <w:rPr>
          <w:rFonts w:ascii="Arial" w:hAnsi="Arial" w:cs="Arial"/>
          <w:b/>
          <w:sz w:val="18"/>
          <w:szCs w:val="18"/>
          <w:lang w:val="sr-Cyrl-CS"/>
        </w:rPr>
        <w:t>Промена изборних предмета</w:t>
      </w:r>
    </w:p>
    <w:p w:rsidR="00CF6F6F" w:rsidRPr="00156B14" w:rsidRDefault="00156B14" w:rsidP="00156B14">
      <w:pPr>
        <w:spacing w:line="300" w:lineRule="exact"/>
        <w:rPr>
          <w:rFonts w:ascii="Arial" w:hAnsi="Arial" w:cs="Arial"/>
          <w:sz w:val="18"/>
          <w:szCs w:val="18"/>
          <w:lang w:val="sr-Cyrl-CS"/>
        </w:rPr>
      </w:pPr>
      <w:r>
        <w:rPr>
          <w:rFonts w:ascii="Arial" w:hAnsi="Arial" w:cs="Arial"/>
          <w:sz w:val="18"/>
          <w:szCs w:val="18"/>
          <w:lang w:val="sr-Cyrl-CS"/>
        </w:rPr>
        <w:t>Изузетно, студент може да промени изборне предмете јесењег семестра до 15.10.202</w:t>
      </w:r>
      <w:r>
        <w:rPr>
          <w:rFonts w:ascii="Arial" w:hAnsi="Arial" w:cs="Arial"/>
          <w:sz w:val="18"/>
          <w:szCs w:val="18"/>
          <w:lang w:val="sr-Latn-RS"/>
        </w:rPr>
        <w:t>2</w:t>
      </w:r>
      <w:r>
        <w:rPr>
          <w:rFonts w:ascii="Arial" w:hAnsi="Arial" w:cs="Arial"/>
          <w:sz w:val="18"/>
          <w:szCs w:val="18"/>
          <w:lang w:val="sr-Cyrl-CS"/>
        </w:rPr>
        <w:t>. године, без накнаде, или до 31.10.202</w:t>
      </w:r>
      <w:r>
        <w:rPr>
          <w:rFonts w:ascii="Arial" w:hAnsi="Arial" w:cs="Arial"/>
          <w:sz w:val="18"/>
          <w:szCs w:val="18"/>
          <w:lang w:val="sr-Latn-RS"/>
        </w:rPr>
        <w:t>2</w:t>
      </w:r>
      <w:r>
        <w:rPr>
          <w:rFonts w:ascii="Arial" w:hAnsi="Arial" w:cs="Arial"/>
          <w:sz w:val="18"/>
          <w:szCs w:val="18"/>
          <w:lang w:val="sr-Cyrl-CS"/>
        </w:rPr>
        <w:t>. године, уз накнаду према Ценовнику, односно изборне предмете пролећног семестра до 10.02.202</w:t>
      </w:r>
      <w:r>
        <w:rPr>
          <w:rFonts w:ascii="Arial" w:hAnsi="Arial" w:cs="Arial"/>
          <w:sz w:val="18"/>
          <w:szCs w:val="18"/>
          <w:lang w:val="sr-Latn-RS"/>
        </w:rPr>
        <w:t>3</w:t>
      </w:r>
      <w:r>
        <w:rPr>
          <w:rFonts w:ascii="Arial" w:hAnsi="Arial" w:cs="Arial"/>
          <w:sz w:val="18"/>
          <w:szCs w:val="18"/>
          <w:lang w:val="sr-Cyrl-CS"/>
        </w:rPr>
        <w:t>. године</w:t>
      </w:r>
      <w:r>
        <w:rPr>
          <w:rFonts w:ascii="Arial" w:hAnsi="Arial" w:cs="Arial"/>
          <w:sz w:val="18"/>
          <w:szCs w:val="18"/>
          <w:lang w:val="sr-Latn-RS"/>
        </w:rPr>
        <w:t>,</w:t>
      </w:r>
      <w:r>
        <w:rPr>
          <w:rFonts w:ascii="Arial" w:hAnsi="Arial" w:cs="Arial"/>
          <w:sz w:val="18"/>
          <w:szCs w:val="18"/>
          <w:lang w:val="sr-Cyrl-CS"/>
        </w:rPr>
        <w:t xml:space="preserve"> без накнаде, односно до 24.02.202</w:t>
      </w:r>
      <w:r>
        <w:rPr>
          <w:rFonts w:ascii="Arial" w:hAnsi="Arial" w:cs="Arial"/>
          <w:sz w:val="18"/>
          <w:szCs w:val="18"/>
          <w:lang w:val="sr-Latn-RS"/>
        </w:rPr>
        <w:t>3</w:t>
      </w:r>
      <w:r>
        <w:rPr>
          <w:rFonts w:ascii="Arial" w:hAnsi="Arial" w:cs="Arial"/>
          <w:sz w:val="18"/>
          <w:szCs w:val="18"/>
          <w:lang w:val="sr-Cyrl-CS"/>
        </w:rPr>
        <w:t xml:space="preserve">. године, уз накнаду према Ценовнику. Захтев за промену изборних предмета се подноси електронски, путем е- студент апликације. </w:t>
      </w:r>
      <w:bookmarkStart w:id="0" w:name="_GoBack"/>
      <w:bookmarkEnd w:id="0"/>
    </w:p>
    <w:sectPr w:rsidR="00CF6F6F" w:rsidRPr="00156B14" w:rsidSect="001A7484">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9A" w:rsidRDefault="00ED119A" w:rsidP="004C2A9C">
      <w:r>
        <w:separator/>
      </w:r>
    </w:p>
  </w:endnote>
  <w:endnote w:type="continuationSeparator" w:id="0">
    <w:p w:rsidR="00ED119A" w:rsidRDefault="00ED119A" w:rsidP="004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8" w:rsidRPr="007D1458" w:rsidRDefault="000D2B3E" w:rsidP="007D1458">
    <w:pPr>
      <w:pStyle w:val="Footer"/>
      <w:jc w:val="center"/>
      <w:rPr>
        <w:sz w:val="20"/>
        <w:szCs w:val="20"/>
      </w:rPr>
    </w:pPr>
    <w:r w:rsidRPr="007D1458">
      <w:rPr>
        <w:rStyle w:val="PageNumber"/>
        <w:sz w:val="20"/>
        <w:szCs w:val="20"/>
      </w:rPr>
      <w:fldChar w:fldCharType="begin"/>
    </w:r>
    <w:r w:rsidR="007D1458" w:rsidRPr="007D1458">
      <w:rPr>
        <w:rStyle w:val="PageNumber"/>
        <w:sz w:val="20"/>
        <w:szCs w:val="20"/>
      </w:rPr>
      <w:instrText xml:space="preserve"> PAGE </w:instrText>
    </w:r>
    <w:r w:rsidRPr="007D1458">
      <w:rPr>
        <w:rStyle w:val="PageNumber"/>
        <w:sz w:val="20"/>
        <w:szCs w:val="20"/>
      </w:rPr>
      <w:fldChar w:fldCharType="separate"/>
    </w:r>
    <w:r w:rsidR="00156B14">
      <w:rPr>
        <w:rStyle w:val="PageNumber"/>
        <w:noProof/>
        <w:sz w:val="20"/>
        <w:szCs w:val="20"/>
      </w:rPr>
      <w:t>2</w:t>
    </w:r>
    <w:r w:rsidRPr="007D145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8" w:rsidRPr="007D1458" w:rsidRDefault="000D2B3E" w:rsidP="007D1458">
    <w:pPr>
      <w:pStyle w:val="Footer"/>
      <w:jc w:val="center"/>
      <w:rPr>
        <w:sz w:val="20"/>
        <w:szCs w:val="20"/>
      </w:rPr>
    </w:pPr>
    <w:r w:rsidRPr="007D1458">
      <w:rPr>
        <w:rStyle w:val="PageNumber"/>
        <w:sz w:val="20"/>
        <w:szCs w:val="20"/>
      </w:rPr>
      <w:fldChar w:fldCharType="begin"/>
    </w:r>
    <w:r w:rsidR="007D1458" w:rsidRPr="007D1458">
      <w:rPr>
        <w:rStyle w:val="PageNumber"/>
        <w:sz w:val="20"/>
        <w:szCs w:val="20"/>
      </w:rPr>
      <w:instrText xml:space="preserve"> PAGE </w:instrText>
    </w:r>
    <w:r w:rsidRPr="007D1458">
      <w:rPr>
        <w:rStyle w:val="PageNumber"/>
        <w:sz w:val="20"/>
        <w:szCs w:val="20"/>
      </w:rPr>
      <w:fldChar w:fldCharType="separate"/>
    </w:r>
    <w:r w:rsidR="007A7235">
      <w:rPr>
        <w:rStyle w:val="PageNumber"/>
        <w:noProof/>
        <w:sz w:val="20"/>
        <w:szCs w:val="20"/>
      </w:rPr>
      <w:t>3</w:t>
    </w:r>
    <w:r w:rsidRPr="007D145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8" w:rsidRPr="00975AC0" w:rsidRDefault="007D1458"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7D1458" w:rsidRPr="00975AC0" w:rsidRDefault="007D1458"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7D1458" w:rsidRPr="00975AC0" w:rsidRDefault="007D1458"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9A" w:rsidRDefault="00ED119A" w:rsidP="004C2A9C">
      <w:r>
        <w:separator/>
      </w:r>
    </w:p>
  </w:footnote>
  <w:footnote w:type="continuationSeparator" w:id="0">
    <w:p w:rsidR="00ED119A" w:rsidRDefault="00ED119A" w:rsidP="004C2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8" w:rsidRDefault="00FF3260">
    <w:pPr>
      <w:pStyle w:val="Header"/>
    </w:pPr>
    <w:r>
      <w:rPr>
        <w:noProof/>
        <w:lang w:val="sr-Latn-RS" w:eastAsia="sr-Latn-RS"/>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8" w:rsidRDefault="00FF3260">
    <w:pPr>
      <w:pStyle w:val="Header"/>
    </w:pPr>
    <w:r>
      <w:rPr>
        <w:noProof/>
        <w:lang w:val="sr-Latn-RS" w:eastAsia="sr-Latn-RS"/>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8" w:rsidRDefault="00FF3260" w:rsidP="001A7484">
    <w:pPr>
      <w:pStyle w:val="Header"/>
      <w:jc w:val="center"/>
      <w:rPr>
        <w:noProof/>
      </w:rPr>
    </w:pPr>
    <w:r>
      <w:rPr>
        <w:noProof/>
        <w:lang w:val="sr-Latn-RS" w:eastAsia="sr-Latn-RS"/>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Pr>
        <w:noProof/>
        <w:lang w:val="sr-Latn-RS" w:eastAsia="sr-Latn-RS"/>
      </w:rPr>
      <w:drawing>
        <wp:inline distT="0" distB="0" distL="0" distR="0">
          <wp:extent cx="1438275" cy="657225"/>
          <wp:effectExtent l="19050" t="0" r="9525"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8275" cy="657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454"/>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84722"/>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9D3ECE"/>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412BBF"/>
    <w:multiLevelType w:val="multilevel"/>
    <w:tmpl w:val="DB18B4B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3D04E2"/>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20A85"/>
    <w:multiLevelType w:val="hybridMultilevel"/>
    <w:tmpl w:val="A42EF7D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AA197F"/>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3F"/>
    <w:rsid w:val="000649C9"/>
    <w:rsid w:val="000B6CA6"/>
    <w:rsid w:val="000D2B3E"/>
    <w:rsid w:val="000D5996"/>
    <w:rsid w:val="001033F0"/>
    <w:rsid w:val="00106AFA"/>
    <w:rsid w:val="0015629F"/>
    <w:rsid w:val="00156B14"/>
    <w:rsid w:val="001A4D96"/>
    <w:rsid w:val="001A7484"/>
    <w:rsid w:val="0023090E"/>
    <w:rsid w:val="002534A6"/>
    <w:rsid w:val="00261137"/>
    <w:rsid w:val="002C0F3C"/>
    <w:rsid w:val="002C58CE"/>
    <w:rsid w:val="00375E35"/>
    <w:rsid w:val="003D763D"/>
    <w:rsid w:val="003E165F"/>
    <w:rsid w:val="00434373"/>
    <w:rsid w:val="00462BBB"/>
    <w:rsid w:val="004A54BF"/>
    <w:rsid w:val="004C2A9C"/>
    <w:rsid w:val="004E1EC2"/>
    <w:rsid w:val="005503D5"/>
    <w:rsid w:val="00573B48"/>
    <w:rsid w:val="005A19D3"/>
    <w:rsid w:val="005C0D03"/>
    <w:rsid w:val="00610B0C"/>
    <w:rsid w:val="00646A00"/>
    <w:rsid w:val="00653952"/>
    <w:rsid w:val="0067360E"/>
    <w:rsid w:val="006A179A"/>
    <w:rsid w:val="006D7BE6"/>
    <w:rsid w:val="00700DA6"/>
    <w:rsid w:val="007619EB"/>
    <w:rsid w:val="00790E71"/>
    <w:rsid w:val="007A7235"/>
    <w:rsid w:val="007D1458"/>
    <w:rsid w:val="007D25ED"/>
    <w:rsid w:val="007E25FF"/>
    <w:rsid w:val="00871E97"/>
    <w:rsid w:val="00873F93"/>
    <w:rsid w:val="008859C2"/>
    <w:rsid w:val="00887A33"/>
    <w:rsid w:val="008D23B9"/>
    <w:rsid w:val="008F0053"/>
    <w:rsid w:val="008F5138"/>
    <w:rsid w:val="008F5C99"/>
    <w:rsid w:val="00956386"/>
    <w:rsid w:val="00966478"/>
    <w:rsid w:val="00975AC0"/>
    <w:rsid w:val="00993A09"/>
    <w:rsid w:val="00997DDB"/>
    <w:rsid w:val="009C3E4E"/>
    <w:rsid w:val="009F549A"/>
    <w:rsid w:val="009F5A85"/>
    <w:rsid w:val="00A240E5"/>
    <w:rsid w:val="00A25960"/>
    <w:rsid w:val="00A50251"/>
    <w:rsid w:val="00A73526"/>
    <w:rsid w:val="00AA1113"/>
    <w:rsid w:val="00AE5A80"/>
    <w:rsid w:val="00B13573"/>
    <w:rsid w:val="00B319B1"/>
    <w:rsid w:val="00B34849"/>
    <w:rsid w:val="00B348DB"/>
    <w:rsid w:val="00B52CF8"/>
    <w:rsid w:val="00B66F46"/>
    <w:rsid w:val="00C07B4C"/>
    <w:rsid w:val="00C6413C"/>
    <w:rsid w:val="00C7228E"/>
    <w:rsid w:val="00C96D3F"/>
    <w:rsid w:val="00CA2AB5"/>
    <w:rsid w:val="00CC07AF"/>
    <w:rsid w:val="00CD3DA5"/>
    <w:rsid w:val="00CD466D"/>
    <w:rsid w:val="00CE57C5"/>
    <w:rsid w:val="00CF6F6F"/>
    <w:rsid w:val="00D227C7"/>
    <w:rsid w:val="00D61CDC"/>
    <w:rsid w:val="00D732F6"/>
    <w:rsid w:val="00D81EEF"/>
    <w:rsid w:val="00E14C22"/>
    <w:rsid w:val="00E732EE"/>
    <w:rsid w:val="00E768DD"/>
    <w:rsid w:val="00E962B4"/>
    <w:rsid w:val="00EA69AB"/>
    <w:rsid w:val="00EB42B7"/>
    <w:rsid w:val="00ED119A"/>
    <w:rsid w:val="00ED6454"/>
    <w:rsid w:val="00F040E4"/>
    <w:rsid w:val="00F1710C"/>
    <w:rsid w:val="00F732B8"/>
    <w:rsid w:val="00F77904"/>
    <w:rsid w:val="00FA224F"/>
    <w:rsid w:val="00FF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v:textbox style="mso-rotate-with-shape:t"/>
    </o:shapedefaults>
    <o:shapelayout v:ext="edit">
      <o:idmap v:ext="edit" data="1"/>
    </o:shapelayout>
  </w:shapeDefaults>
  <w:decimalSymbol w:val=","/>
  <w:listSeparator w:val=";"/>
  <w14:docId w14:val="02915E24"/>
  <w15:docId w15:val="{25A5FAD3-27D8-47E7-B1F3-A127E45B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semiHidden/>
    <w:unhideWhenUsed/>
    <w:rsid w:val="004C2A9C"/>
    <w:pPr>
      <w:tabs>
        <w:tab w:val="center" w:pos="4680"/>
        <w:tab w:val="right" w:pos="9360"/>
      </w:tabs>
    </w:pPr>
  </w:style>
  <w:style w:type="character" w:customStyle="1" w:styleId="FooterChar">
    <w:name w:val="Footer Char"/>
    <w:basedOn w:val="DefaultParagraphFont"/>
    <w:link w:val="Footer"/>
    <w:uiPriority w:val="99"/>
    <w:semiHidden/>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1458"/>
  </w:style>
  <w:style w:type="character" w:customStyle="1" w:styleId="mainpanel">
    <w:name w:val="mainpanel"/>
    <w:basedOn w:val="DefaultParagraphFont"/>
    <w:rsid w:val="00CF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0679">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1448\Downloads\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Memorandum_Nov_Cirilica</Template>
  <TotalTime>0</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3643</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jc1448</dc:creator>
  <cp:lastModifiedBy>Jovana M. Carević</cp:lastModifiedBy>
  <cp:revision>2</cp:revision>
  <cp:lastPrinted>2010-10-22T14:03:00Z</cp:lastPrinted>
  <dcterms:created xsi:type="dcterms:W3CDTF">2022-10-04T07:51:00Z</dcterms:created>
  <dcterms:modified xsi:type="dcterms:W3CDTF">2022-10-04T07:51:00Z</dcterms:modified>
</cp:coreProperties>
</file>